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41DA" w:rsidRPr="00443B40" w:rsidRDefault="006E41DA" w:rsidP="00937E87">
      <w:pPr>
        <w:autoSpaceDE w:val="0"/>
        <w:autoSpaceDN w:val="0"/>
        <w:adjustRightInd w:val="0"/>
        <w:spacing w:line="260" w:lineRule="exact"/>
        <w:ind w:left="709" w:hanging="709"/>
        <w:jc w:val="center"/>
        <w:rPr>
          <w:rFonts w:ascii="Verdana" w:hAnsi="Verdana" w:cs="Arial"/>
          <w:b/>
          <w:bCs/>
          <w:sz w:val="22"/>
          <w:szCs w:val="22"/>
        </w:rPr>
      </w:pPr>
      <w:bookmarkStart w:id="0" w:name="_GoBack"/>
      <w:bookmarkEnd w:id="0"/>
      <w:r w:rsidRPr="00443B40">
        <w:rPr>
          <w:rFonts w:ascii="Verdana" w:hAnsi="Verdana" w:cs="Arial"/>
          <w:b/>
          <w:bCs/>
          <w:sz w:val="22"/>
          <w:szCs w:val="22"/>
        </w:rPr>
        <w:t>Erfassung Ihrer Person in d</w:t>
      </w:r>
      <w:r w:rsidR="00931481" w:rsidRPr="00443B40">
        <w:rPr>
          <w:rFonts w:ascii="Verdana" w:hAnsi="Verdana" w:cs="Arial"/>
          <w:b/>
          <w:bCs/>
          <w:sz w:val="22"/>
          <w:szCs w:val="22"/>
        </w:rPr>
        <w:t>er</w:t>
      </w:r>
      <w:r w:rsidRPr="00443B40">
        <w:rPr>
          <w:rFonts w:ascii="Verdana" w:hAnsi="Verdana" w:cs="Arial"/>
          <w:b/>
          <w:bCs/>
          <w:sz w:val="22"/>
          <w:szCs w:val="22"/>
        </w:rPr>
        <w:t xml:space="preserve"> Insider</w:t>
      </w:r>
      <w:r w:rsidR="004F6CAE" w:rsidRPr="00443B40">
        <w:rPr>
          <w:rFonts w:ascii="Verdana" w:hAnsi="Verdana" w:cs="Arial"/>
          <w:b/>
          <w:bCs/>
          <w:sz w:val="22"/>
          <w:szCs w:val="22"/>
        </w:rPr>
        <w:t>liste</w:t>
      </w:r>
      <w:r w:rsidR="00937E87" w:rsidRPr="00443B40">
        <w:rPr>
          <w:rFonts w:ascii="Verdana" w:hAnsi="Verdana" w:cs="Arial"/>
          <w:b/>
          <w:bCs/>
          <w:sz w:val="22"/>
          <w:szCs w:val="22"/>
        </w:rPr>
        <w:t xml:space="preserve"> -</w:t>
      </w:r>
    </w:p>
    <w:p w:rsidR="006E41DA" w:rsidRPr="00443B40" w:rsidRDefault="006E41DA" w:rsidP="00937E87">
      <w:pPr>
        <w:autoSpaceDE w:val="0"/>
        <w:autoSpaceDN w:val="0"/>
        <w:adjustRightInd w:val="0"/>
        <w:spacing w:line="260" w:lineRule="exact"/>
        <w:rPr>
          <w:rFonts w:ascii="Verdana" w:hAnsi="Verdana" w:cs="Arial"/>
          <w:b/>
          <w:bCs/>
          <w:sz w:val="22"/>
          <w:szCs w:val="22"/>
        </w:rPr>
      </w:pPr>
      <w:r w:rsidRPr="00443B40">
        <w:rPr>
          <w:rFonts w:ascii="Verdana" w:hAnsi="Verdana" w:cs="Arial"/>
          <w:b/>
          <w:bCs/>
          <w:sz w:val="22"/>
          <w:szCs w:val="22"/>
        </w:rPr>
        <w:t xml:space="preserve">Aufklärung nach </w:t>
      </w:r>
      <w:r w:rsidR="0082598D" w:rsidRPr="00443B40">
        <w:rPr>
          <w:rFonts w:ascii="Verdana" w:hAnsi="Verdana" w:cs="Arial"/>
          <w:b/>
          <w:bCs/>
          <w:sz w:val="22"/>
          <w:szCs w:val="22"/>
        </w:rPr>
        <w:t>Artikel 18 Abs. 2 der Verordnung (EU) Nr. 596/2014 des Europäischen Parlaments und des Rates über Marktmissbrauch (Marktmissbrauchsverordnung</w:t>
      </w:r>
      <w:r w:rsidR="005838DF" w:rsidRPr="00443B40">
        <w:rPr>
          <w:rFonts w:ascii="Verdana" w:hAnsi="Verdana" w:cs="Arial"/>
          <w:b/>
          <w:bCs/>
          <w:sz w:val="22"/>
          <w:szCs w:val="22"/>
        </w:rPr>
        <w:t>, MAR</w:t>
      </w:r>
      <w:r w:rsidR="0082598D" w:rsidRPr="00443B40">
        <w:rPr>
          <w:rFonts w:ascii="Verdana" w:hAnsi="Verdana" w:cs="Arial"/>
          <w:b/>
          <w:bCs/>
          <w:sz w:val="22"/>
          <w:szCs w:val="22"/>
        </w:rPr>
        <w:t>)</w:t>
      </w:r>
    </w:p>
    <w:p w:rsidR="006E41DA" w:rsidRPr="00443B40" w:rsidRDefault="00F05428" w:rsidP="007F4D6F">
      <w:pPr>
        <w:autoSpaceDE w:val="0"/>
        <w:autoSpaceDN w:val="0"/>
        <w:adjustRightInd w:val="0"/>
        <w:spacing w:before="240" w:line="260" w:lineRule="exact"/>
        <w:rPr>
          <w:rFonts w:ascii="Verdana" w:hAnsi="Verdana" w:cs="Arial"/>
          <w:sz w:val="22"/>
          <w:szCs w:val="22"/>
        </w:rPr>
      </w:pPr>
      <w:r w:rsidRPr="00443B40">
        <w:rPr>
          <w:rFonts w:ascii="Verdana" w:hAnsi="Verdana" w:cs="Arial"/>
          <w:sz w:val="22"/>
          <w:szCs w:val="22"/>
        </w:rPr>
        <w:t>Sehr geehrte Frau,</w:t>
      </w:r>
      <w:r w:rsidRPr="00443B40">
        <w:rPr>
          <w:rFonts w:ascii="Verdana" w:hAnsi="Verdana" w:cs="Arial"/>
          <w:sz w:val="22"/>
          <w:szCs w:val="22"/>
        </w:rPr>
        <w:br/>
        <w:t>Sehr geehrter Herr,</w:t>
      </w:r>
    </w:p>
    <w:p w:rsidR="007628F4" w:rsidRPr="00443B40" w:rsidRDefault="006E41DA" w:rsidP="007F4D6F">
      <w:pPr>
        <w:autoSpaceDE w:val="0"/>
        <w:autoSpaceDN w:val="0"/>
        <w:adjustRightInd w:val="0"/>
        <w:spacing w:before="240" w:line="260" w:lineRule="exact"/>
        <w:jc w:val="both"/>
        <w:rPr>
          <w:rFonts w:ascii="Verdana" w:hAnsi="Verdana" w:cs="Arial"/>
          <w:sz w:val="22"/>
          <w:szCs w:val="22"/>
        </w:rPr>
      </w:pPr>
      <w:r w:rsidRPr="00443B40">
        <w:rPr>
          <w:rFonts w:ascii="Verdana" w:hAnsi="Verdana" w:cs="Arial"/>
          <w:sz w:val="22"/>
          <w:szCs w:val="22"/>
        </w:rPr>
        <w:t xml:space="preserve">gem. </w:t>
      </w:r>
      <w:r w:rsidR="0082598D" w:rsidRPr="00443B40">
        <w:rPr>
          <w:rFonts w:ascii="Verdana" w:hAnsi="Verdana" w:cs="Arial"/>
          <w:sz w:val="22"/>
          <w:szCs w:val="22"/>
        </w:rPr>
        <w:t>Artikel 18 Abs. 1 Marktmissbrauchsverordnung</w:t>
      </w:r>
      <w:r w:rsidRPr="00443B40">
        <w:rPr>
          <w:rFonts w:ascii="Verdana" w:hAnsi="Verdana" w:cs="Arial"/>
          <w:sz w:val="22"/>
          <w:szCs w:val="22"/>
        </w:rPr>
        <w:t xml:space="preserve"> </w:t>
      </w:r>
      <w:r w:rsidR="0082598D" w:rsidRPr="00443B40">
        <w:rPr>
          <w:rFonts w:ascii="Verdana" w:hAnsi="Verdana" w:cs="Arial"/>
          <w:sz w:val="22"/>
          <w:szCs w:val="22"/>
        </w:rPr>
        <w:t xml:space="preserve">(MAR) </w:t>
      </w:r>
      <w:r w:rsidR="007628F4" w:rsidRPr="00443B40">
        <w:rPr>
          <w:rFonts w:ascii="Verdana" w:hAnsi="Verdana" w:cs="Arial"/>
          <w:sz w:val="22"/>
          <w:szCs w:val="22"/>
        </w:rPr>
        <w:t>ist</w:t>
      </w:r>
      <w:r w:rsidRPr="00443B40">
        <w:rPr>
          <w:rFonts w:ascii="Verdana" w:hAnsi="Verdana" w:cs="Arial"/>
          <w:sz w:val="22"/>
          <w:szCs w:val="22"/>
        </w:rPr>
        <w:t xml:space="preserve"> [</w:t>
      </w:r>
      <w:r w:rsidR="007628F4" w:rsidRPr="00443B40">
        <w:rPr>
          <w:rFonts w:ascii="Verdana" w:hAnsi="Verdana" w:cs="Arial"/>
          <w:sz w:val="22"/>
          <w:szCs w:val="22"/>
          <w:lang w:val="en-GB"/>
        </w:rPr>
        <w:fldChar w:fldCharType="begin">
          <w:ffData>
            <w:name w:val=""/>
            <w:enabled/>
            <w:calcOnExit w:val="0"/>
            <w:textInput>
              <w:default w:val="Name des Verpflichteten"/>
            </w:textInput>
          </w:ffData>
        </w:fldChar>
      </w:r>
      <w:r w:rsidR="007628F4" w:rsidRPr="00443B40">
        <w:rPr>
          <w:rFonts w:ascii="Verdana" w:hAnsi="Verdana" w:cs="Arial"/>
          <w:sz w:val="22"/>
          <w:szCs w:val="22"/>
        </w:rPr>
        <w:instrText xml:space="preserve"> FORMTEXT </w:instrText>
      </w:r>
      <w:r w:rsidR="007628F4" w:rsidRPr="00443B40">
        <w:rPr>
          <w:rFonts w:ascii="Verdana" w:hAnsi="Verdana" w:cs="Arial"/>
          <w:sz w:val="22"/>
          <w:szCs w:val="22"/>
          <w:lang w:val="en-GB"/>
        </w:rPr>
      </w:r>
      <w:r w:rsidR="007628F4" w:rsidRPr="00443B40">
        <w:rPr>
          <w:rFonts w:ascii="Verdana" w:hAnsi="Verdana" w:cs="Arial"/>
          <w:sz w:val="22"/>
          <w:szCs w:val="22"/>
          <w:lang w:val="en-GB"/>
        </w:rPr>
        <w:fldChar w:fldCharType="separate"/>
      </w:r>
      <w:r w:rsidR="007628F4" w:rsidRPr="00443B40">
        <w:rPr>
          <w:rFonts w:ascii="Verdana" w:hAnsi="Verdana" w:cs="Arial"/>
          <w:noProof/>
          <w:sz w:val="22"/>
          <w:szCs w:val="22"/>
        </w:rPr>
        <w:t>Name des Verpflichteten</w:t>
      </w:r>
      <w:r w:rsidR="007628F4" w:rsidRPr="00443B40">
        <w:rPr>
          <w:rFonts w:ascii="Verdana" w:hAnsi="Verdana" w:cs="Arial"/>
          <w:sz w:val="22"/>
          <w:szCs w:val="22"/>
          <w:lang w:val="en-GB"/>
        </w:rPr>
        <w:fldChar w:fldCharType="end"/>
      </w:r>
      <w:r w:rsidRPr="00443B40">
        <w:rPr>
          <w:rFonts w:ascii="Verdana" w:hAnsi="Verdana" w:cs="Arial"/>
          <w:sz w:val="22"/>
          <w:szCs w:val="22"/>
        </w:rPr>
        <w:t xml:space="preserve">] dazu verpflichtet, </w:t>
      </w:r>
      <w:r w:rsidR="0082598D" w:rsidRPr="00443B40">
        <w:rPr>
          <w:rFonts w:ascii="Verdana" w:hAnsi="Verdana" w:cs="Arial"/>
          <w:sz w:val="22"/>
          <w:szCs w:val="22"/>
        </w:rPr>
        <w:t>eine Liste aller Personen aufzustellen, die Zugang zu Insiderinformationen haben, wenn diese Personen für sie auf Grundlage eines Arbeitsvertrages oder anderweitig Aufgaben wahrnehmen, durch die diese Zugang zu Insiderinformationen haben</w:t>
      </w:r>
      <w:r w:rsidRPr="00443B40">
        <w:rPr>
          <w:rFonts w:ascii="Verdana" w:hAnsi="Verdana" w:cs="Arial"/>
          <w:sz w:val="22"/>
          <w:szCs w:val="22"/>
        </w:rPr>
        <w:t xml:space="preserve">. </w:t>
      </w:r>
    </w:p>
    <w:p w:rsidR="006E41DA" w:rsidRPr="00443B40" w:rsidRDefault="006E41DA" w:rsidP="007F4D6F">
      <w:pPr>
        <w:autoSpaceDE w:val="0"/>
        <w:autoSpaceDN w:val="0"/>
        <w:adjustRightInd w:val="0"/>
        <w:spacing w:before="240" w:line="260" w:lineRule="exact"/>
        <w:jc w:val="both"/>
        <w:rPr>
          <w:rFonts w:ascii="Verdana" w:hAnsi="Verdana" w:cs="Arial"/>
          <w:sz w:val="22"/>
          <w:szCs w:val="22"/>
        </w:rPr>
      </w:pPr>
      <w:r w:rsidRPr="00443B40">
        <w:rPr>
          <w:rFonts w:ascii="Verdana" w:hAnsi="Verdana" w:cs="Arial"/>
          <w:sz w:val="22"/>
          <w:szCs w:val="22"/>
        </w:rPr>
        <w:t xml:space="preserve">Diese </w:t>
      </w:r>
      <w:r w:rsidR="005332A9" w:rsidRPr="00443B40">
        <w:rPr>
          <w:rFonts w:ascii="Verdana" w:hAnsi="Verdana" w:cs="Arial"/>
          <w:sz w:val="22"/>
          <w:szCs w:val="22"/>
        </w:rPr>
        <w:t>Insiderl</w:t>
      </w:r>
      <w:r w:rsidR="0082598D" w:rsidRPr="00443B40">
        <w:rPr>
          <w:rFonts w:ascii="Verdana" w:hAnsi="Verdana" w:cs="Arial"/>
          <w:sz w:val="22"/>
          <w:szCs w:val="22"/>
        </w:rPr>
        <w:t xml:space="preserve">iste ist </w:t>
      </w:r>
      <w:r w:rsidR="005332A9" w:rsidRPr="00443B40">
        <w:rPr>
          <w:rFonts w:ascii="Verdana" w:hAnsi="Verdana" w:cs="Arial"/>
          <w:sz w:val="22"/>
          <w:szCs w:val="22"/>
        </w:rPr>
        <w:t xml:space="preserve">der zuständigen Behörde (in Deutschland die </w:t>
      </w:r>
      <w:r w:rsidRPr="00443B40">
        <w:rPr>
          <w:rFonts w:ascii="Verdana" w:hAnsi="Verdana" w:cs="Arial"/>
          <w:sz w:val="22"/>
          <w:szCs w:val="22"/>
        </w:rPr>
        <w:t>Bundesanstalt für</w:t>
      </w:r>
      <w:r w:rsidR="00EF3D70" w:rsidRPr="00443B40">
        <w:rPr>
          <w:rFonts w:ascii="Verdana" w:hAnsi="Verdana" w:cs="Arial"/>
          <w:sz w:val="22"/>
          <w:szCs w:val="22"/>
        </w:rPr>
        <w:t xml:space="preserve"> Finanzdienstleistungsaufsicht - </w:t>
      </w:r>
      <w:r w:rsidRPr="00443B40">
        <w:rPr>
          <w:rFonts w:ascii="Verdana" w:hAnsi="Verdana" w:cs="Arial"/>
          <w:sz w:val="22"/>
          <w:szCs w:val="22"/>
        </w:rPr>
        <w:t>BaFin</w:t>
      </w:r>
      <w:r w:rsidR="005332A9" w:rsidRPr="00443B40">
        <w:rPr>
          <w:rFonts w:ascii="Verdana" w:hAnsi="Verdana" w:cs="Arial"/>
          <w:sz w:val="22"/>
          <w:szCs w:val="22"/>
        </w:rPr>
        <w:t>) auf deren Ersuchen möglichst rasch</w:t>
      </w:r>
      <w:r w:rsidRPr="00443B40">
        <w:rPr>
          <w:rFonts w:ascii="Verdana" w:hAnsi="Verdana" w:cs="Arial"/>
          <w:sz w:val="22"/>
          <w:szCs w:val="22"/>
        </w:rPr>
        <w:t xml:space="preserve"> </w:t>
      </w:r>
      <w:r w:rsidR="0082598D" w:rsidRPr="00443B40">
        <w:rPr>
          <w:rFonts w:ascii="Verdana" w:hAnsi="Verdana" w:cs="Arial"/>
          <w:sz w:val="22"/>
          <w:szCs w:val="22"/>
        </w:rPr>
        <w:t>zur Verfügung zu stellen</w:t>
      </w:r>
      <w:r w:rsidRPr="00443B40">
        <w:rPr>
          <w:rFonts w:ascii="Verdana" w:hAnsi="Verdana" w:cs="Arial"/>
          <w:sz w:val="22"/>
          <w:szCs w:val="22"/>
        </w:rPr>
        <w:t>.</w:t>
      </w:r>
    </w:p>
    <w:p w:rsidR="008E1A04" w:rsidRPr="00443B40" w:rsidRDefault="006E41DA" w:rsidP="007F4D6F">
      <w:pPr>
        <w:autoSpaceDE w:val="0"/>
        <w:autoSpaceDN w:val="0"/>
        <w:adjustRightInd w:val="0"/>
        <w:spacing w:before="240" w:line="260" w:lineRule="exact"/>
        <w:jc w:val="both"/>
        <w:rPr>
          <w:rFonts w:ascii="Verdana" w:hAnsi="Verdana" w:cs="Arial"/>
          <w:sz w:val="22"/>
          <w:szCs w:val="22"/>
        </w:rPr>
      </w:pPr>
      <w:r w:rsidRPr="00443B40">
        <w:rPr>
          <w:rFonts w:ascii="Verdana" w:hAnsi="Verdana" w:cs="Arial"/>
          <w:sz w:val="22"/>
          <w:szCs w:val="22"/>
        </w:rPr>
        <w:t xml:space="preserve">Wir möchten Sie darauf hinweisen, dass wir Sie in </w:t>
      </w:r>
      <w:r w:rsidR="00501DFF" w:rsidRPr="00443B40">
        <w:rPr>
          <w:rFonts w:ascii="Verdana" w:hAnsi="Verdana" w:cs="Arial"/>
          <w:sz w:val="22"/>
          <w:szCs w:val="22"/>
        </w:rPr>
        <w:t>diese</w:t>
      </w:r>
      <w:r w:rsidRPr="00443B40">
        <w:rPr>
          <w:rFonts w:ascii="Verdana" w:hAnsi="Verdana" w:cs="Arial"/>
          <w:sz w:val="22"/>
          <w:szCs w:val="22"/>
        </w:rPr>
        <w:t xml:space="preserve"> </w:t>
      </w:r>
      <w:r w:rsidR="00AF452C" w:rsidRPr="00443B40">
        <w:rPr>
          <w:rFonts w:ascii="Verdana" w:hAnsi="Verdana" w:cs="Arial"/>
          <w:sz w:val="22"/>
          <w:szCs w:val="22"/>
        </w:rPr>
        <w:t>Insiderl</w:t>
      </w:r>
      <w:r w:rsidR="004F6CAE" w:rsidRPr="00443B40">
        <w:rPr>
          <w:rFonts w:ascii="Verdana" w:hAnsi="Verdana" w:cs="Arial"/>
          <w:sz w:val="22"/>
          <w:szCs w:val="22"/>
        </w:rPr>
        <w:t xml:space="preserve">iste </w:t>
      </w:r>
      <w:r w:rsidR="008E1A04" w:rsidRPr="00443B40">
        <w:rPr>
          <w:rFonts w:ascii="Verdana" w:hAnsi="Verdana" w:cs="Arial"/>
          <w:sz w:val="22"/>
          <w:szCs w:val="22"/>
        </w:rPr>
        <w:t>aufgenommen haben.</w:t>
      </w:r>
    </w:p>
    <w:p w:rsidR="006E41DA" w:rsidRPr="00443B40" w:rsidRDefault="006E41DA" w:rsidP="007F4D6F">
      <w:pPr>
        <w:autoSpaceDE w:val="0"/>
        <w:autoSpaceDN w:val="0"/>
        <w:adjustRightInd w:val="0"/>
        <w:spacing w:before="240" w:line="260" w:lineRule="exact"/>
        <w:jc w:val="both"/>
        <w:rPr>
          <w:rFonts w:ascii="Verdana" w:hAnsi="Verdana" w:cs="Arial"/>
          <w:sz w:val="22"/>
          <w:szCs w:val="22"/>
        </w:rPr>
      </w:pPr>
      <w:r w:rsidRPr="00443B40">
        <w:rPr>
          <w:rFonts w:ascii="Verdana" w:hAnsi="Verdana" w:cs="Arial"/>
          <w:sz w:val="22"/>
          <w:szCs w:val="22"/>
        </w:rPr>
        <w:t xml:space="preserve">Aus diesem Grund obliegt uns Ihnen gegenüber eine besondere Aufklärungspflicht über die rechtlichen Pflichten, die sich aus dem Zugang zu Insiderinformationen ergeben sowie über die </w:t>
      </w:r>
      <w:r w:rsidR="005838DF" w:rsidRPr="00443B40">
        <w:rPr>
          <w:rFonts w:ascii="Verdana" w:hAnsi="Verdana" w:cs="Arial"/>
          <w:sz w:val="22"/>
          <w:szCs w:val="22"/>
        </w:rPr>
        <w:t xml:space="preserve">Rechtsfolgen bei Verstößen, </w:t>
      </w:r>
      <w:r w:rsidRPr="00443B40">
        <w:rPr>
          <w:rFonts w:ascii="Verdana" w:hAnsi="Verdana" w:cs="Arial"/>
          <w:sz w:val="22"/>
          <w:szCs w:val="22"/>
        </w:rPr>
        <w:t xml:space="preserve">der wir mit </w:t>
      </w:r>
      <w:r w:rsidR="008E1A04" w:rsidRPr="00443B40">
        <w:rPr>
          <w:rFonts w:ascii="Verdana" w:hAnsi="Verdana" w:cs="Arial"/>
          <w:sz w:val="22"/>
          <w:szCs w:val="22"/>
        </w:rPr>
        <w:t>diesem Merkblatt</w:t>
      </w:r>
      <w:r w:rsidRPr="00443B40">
        <w:rPr>
          <w:rFonts w:ascii="Verdana" w:hAnsi="Verdana" w:cs="Arial"/>
          <w:sz w:val="22"/>
          <w:szCs w:val="22"/>
        </w:rPr>
        <w:t xml:space="preserve"> nachkommen.</w:t>
      </w:r>
    </w:p>
    <w:p w:rsidR="006E41DA" w:rsidRPr="00443B40" w:rsidRDefault="006E41DA" w:rsidP="007F4D6F">
      <w:pPr>
        <w:autoSpaceDE w:val="0"/>
        <w:autoSpaceDN w:val="0"/>
        <w:adjustRightInd w:val="0"/>
        <w:spacing w:before="240" w:line="260" w:lineRule="exact"/>
        <w:jc w:val="both"/>
        <w:rPr>
          <w:rFonts w:ascii="Verdana" w:hAnsi="Verdana" w:cs="Arial"/>
          <w:sz w:val="22"/>
          <w:szCs w:val="22"/>
        </w:rPr>
      </w:pPr>
      <w:r w:rsidRPr="00443B40">
        <w:rPr>
          <w:rFonts w:ascii="Verdana" w:hAnsi="Verdana" w:cs="Arial"/>
          <w:sz w:val="22"/>
          <w:szCs w:val="22"/>
        </w:rPr>
        <w:t xml:space="preserve">Wir bitten Sie, sich die nachfolgenden Normen </w:t>
      </w:r>
      <w:r w:rsidR="005F4E2B" w:rsidRPr="00443B40">
        <w:rPr>
          <w:rFonts w:ascii="Verdana" w:hAnsi="Verdana" w:cs="Arial"/>
          <w:sz w:val="22"/>
          <w:szCs w:val="22"/>
        </w:rPr>
        <w:t xml:space="preserve">der Marktmissbrauchsverordnung und </w:t>
      </w:r>
      <w:r w:rsidRPr="00443B40">
        <w:rPr>
          <w:rFonts w:ascii="Verdana" w:hAnsi="Verdana" w:cs="Arial"/>
          <w:sz w:val="22"/>
          <w:szCs w:val="22"/>
        </w:rPr>
        <w:t xml:space="preserve">des </w:t>
      </w:r>
      <w:r w:rsidR="005838DF" w:rsidRPr="00443B40">
        <w:rPr>
          <w:rFonts w:ascii="Verdana" w:hAnsi="Verdana" w:cs="Arial"/>
          <w:sz w:val="22"/>
          <w:szCs w:val="22"/>
        </w:rPr>
        <w:t>Wertpapierhandelsgesetzes (</w:t>
      </w:r>
      <w:r w:rsidRPr="00443B40">
        <w:rPr>
          <w:rFonts w:ascii="Verdana" w:hAnsi="Verdana" w:cs="Arial"/>
          <w:sz w:val="22"/>
          <w:szCs w:val="22"/>
        </w:rPr>
        <w:t>WpHG</w:t>
      </w:r>
      <w:r w:rsidR="005838DF" w:rsidRPr="00443B40">
        <w:rPr>
          <w:rFonts w:ascii="Verdana" w:hAnsi="Verdana" w:cs="Arial"/>
          <w:sz w:val="22"/>
          <w:szCs w:val="22"/>
        </w:rPr>
        <w:t>)</w:t>
      </w:r>
      <w:r w:rsidRPr="00443B40">
        <w:rPr>
          <w:rFonts w:ascii="Verdana" w:hAnsi="Verdana" w:cs="Arial"/>
          <w:sz w:val="22"/>
          <w:szCs w:val="22"/>
        </w:rPr>
        <w:t xml:space="preserve"> sorgfältig durchzulesen und </w:t>
      </w:r>
      <w:r w:rsidR="00443B40" w:rsidRPr="00443B40">
        <w:rPr>
          <w:rFonts w:ascii="Verdana" w:hAnsi="Verdana" w:cs="Arial"/>
          <w:sz w:val="22"/>
          <w:szCs w:val="22"/>
        </w:rPr>
        <w:t>die Kenntnisnahme</w:t>
      </w:r>
      <w:r w:rsidR="00300C7A" w:rsidRPr="00443B40">
        <w:rPr>
          <w:rFonts w:ascii="Verdana" w:hAnsi="Verdana" w:cs="Arial"/>
          <w:sz w:val="22"/>
          <w:szCs w:val="22"/>
        </w:rPr>
        <w:t xml:space="preserve"> auf dem beigefügten zweiten Exemplar dieses Schreibens zu </w:t>
      </w:r>
      <w:r w:rsidR="00443B40" w:rsidRPr="00443B40">
        <w:rPr>
          <w:rFonts w:ascii="Verdana" w:hAnsi="Verdana" w:cs="Arial"/>
          <w:sz w:val="22"/>
          <w:szCs w:val="22"/>
        </w:rPr>
        <w:t>bestätigen.</w:t>
      </w:r>
    </w:p>
    <w:p w:rsidR="006E41DA" w:rsidRPr="00443B40" w:rsidRDefault="006E41DA" w:rsidP="007F4D6F">
      <w:pPr>
        <w:autoSpaceDE w:val="0"/>
        <w:autoSpaceDN w:val="0"/>
        <w:adjustRightInd w:val="0"/>
        <w:spacing w:before="240" w:line="260" w:lineRule="exact"/>
        <w:jc w:val="both"/>
        <w:rPr>
          <w:rFonts w:ascii="Verdana" w:hAnsi="Verdana" w:cs="Arial"/>
          <w:sz w:val="22"/>
          <w:szCs w:val="22"/>
        </w:rPr>
      </w:pPr>
      <w:r w:rsidRPr="00443B40">
        <w:rPr>
          <w:rFonts w:ascii="Verdana" w:hAnsi="Verdana" w:cs="Arial"/>
          <w:sz w:val="22"/>
          <w:szCs w:val="22"/>
        </w:rPr>
        <w:t xml:space="preserve">Wir machen Sie darauf aufmerksam, dass durch das Verbot von Insidergeschäften </w:t>
      </w:r>
      <w:r w:rsidR="00207632" w:rsidRPr="00443B40">
        <w:rPr>
          <w:rFonts w:ascii="Verdana" w:hAnsi="Verdana" w:cs="Arial"/>
          <w:sz w:val="22"/>
          <w:szCs w:val="22"/>
        </w:rPr>
        <w:t xml:space="preserve">und Verbot der unrechtmäßigen Offenlegung von Insiderinformationen </w:t>
      </w:r>
      <w:r w:rsidRPr="00443B40">
        <w:rPr>
          <w:rFonts w:ascii="Verdana" w:hAnsi="Verdana" w:cs="Arial"/>
          <w:sz w:val="22"/>
          <w:szCs w:val="22"/>
        </w:rPr>
        <w:t>die Funktionsfähigkeit des Kapitalmarkts geschützt wird und ein Verstoß gegen dieses Verbot als</w:t>
      </w:r>
      <w:r w:rsidR="00920D5C" w:rsidRPr="00443B40">
        <w:rPr>
          <w:rFonts w:ascii="Verdana" w:hAnsi="Verdana" w:cs="Arial"/>
          <w:sz w:val="22"/>
          <w:szCs w:val="22"/>
        </w:rPr>
        <w:t xml:space="preserve"> </w:t>
      </w:r>
      <w:r w:rsidRPr="00443B40">
        <w:rPr>
          <w:rFonts w:ascii="Verdana" w:hAnsi="Verdana" w:cs="Arial"/>
          <w:sz w:val="22"/>
          <w:szCs w:val="22"/>
        </w:rPr>
        <w:t>Straftat verfolgt werden kann.</w:t>
      </w:r>
    </w:p>
    <w:p w:rsidR="00512A36" w:rsidRPr="00443B40" w:rsidRDefault="006E41DA" w:rsidP="007F4D6F">
      <w:pPr>
        <w:autoSpaceDE w:val="0"/>
        <w:autoSpaceDN w:val="0"/>
        <w:adjustRightInd w:val="0"/>
        <w:spacing w:before="240" w:line="260" w:lineRule="exact"/>
        <w:jc w:val="both"/>
        <w:rPr>
          <w:rFonts w:ascii="Verdana" w:hAnsi="Verdana" w:cs="Arial"/>
          <w:sz w:val="22"/>
          <w:szCs w:val="22"/>
        </w:rPr>
      </w:pPr>
      <w:r w:rsidRPr="00443B40">
        <w:rPr>
          <w:rFonts w:ascii="Verdana" w:hAnsi="Verdana" w:cs="Arial"/>
          <w:sz w:val="22"/>
          <w:szCs w:val="22"/>
        </w:rPr>
        <w:t>Sollten Sie Fragen haben, wenden Sie sich bitte an</w:t>
      </w:r>
      <w:r w:rsidR="00443B40" w:rsidRPr="00443B40">
        <w:rPr>
          <w:rFonts w:ascii="Verdana" w:hAnsi="Verdana" w:cs="Arial"/>
          <w:sz w:val="22"/>
          <w:szCs w:val="22"/>
        </w:rPr>
        <w:t xml:space="preserve"> unsere Compliance-Stelle / Rechtsabteilung / etc..</w:t>
      </w:r>
    </w:p>
    <w:p w:rsidR="006E41DA" w:rsidRPr="00443B40" w:rsidRDefault="006E41DA" w:rsidP="007F4D6F">
      <w:pPr>
        <w:autoSpaceDE w:val="0"/>
        <w:autoSpaceDN w:val="0"/>
        <w:adjustRightInd w:val="0"/>
        <w:spacing w:before="240" w:line="260" w:lineRule="exact"/>
        <w:jc w:val="both"/>
        <w:rPr>
          <w:rFonts w:ascii="Verdana" w:hAnsi="Verdana" w:cs="Arial"/>
          <w:sz w:val="22"/>
          <w:szCs w:val="22"/>
        </w:rPr>
      </w:pPr>
    </w:p>
    <w:p w:rsidR="006E41DA" w:rsidRDefault="006E41DA" w:rsidP="00006E49">
      <w:pPr>
        <w:autoSpaceDE w:val="0"/>
        <w:autoSpaceDN w:val="0"/>
        <w:adjustRightInd w:val="0"/>
        <w:spacing w:before="240" w:line="260" w:lineRule="exact"/>
        <w:jc w:val="both"/>
        <w:rPr>
          <w:rFonts w:ascii="Verdana" w:hAnsi="Verdana"/>
          <w:b/>
          <w:bCs/>
          <w:sz w:val="22"/>
          <w:szCs w:val="22"/>
        </w:rPr>
      </w:pPr>
    </w:p>
    <w:p w:rsidR="00006E49" w:rsidRDefault="00006E49" w:rsidP="00006E49">
      <w:pPr>
        <w:autoSpaceDE w:val="0"/>
        <w:autoSpaceDN w:val="0"/>
        <w:adjustRightInd w:val="0"/>
        <w:spacing w:before="240" w:line="260" w:lineRule="exact"/>
        <w:jc w:val="both"/>
        <w:rPr>
          <w:rFonts w:ascii="Verdana" w:hAnsi="Verdana"/>
          <w:b/>
          <w:bCs/>
          <w:sz w:val="22"/>
          <w:szCs w:val="22"/>
        </w:rPr>
      </w:pPr>
    </w:p>
    <w:p w:rsidR="00006E49" w:rsidRDefault="00006E49" w:rsidP="00006E49">
      <w:pPr>
        <w:autoSpaceDE w:val="0"/>
        <w:autoSpaceDN w:val="0"/>
        <w:adjustRightInd w:val="0"/>
        <w:spacing w:before="240" w:line="260" w:lineRule="exact"/>
        <w:jc w:val="both"/>
        <w:rPr>
          <w:rFonts w:ascii="Verdana" w:hAnsi="Verdana"/>
          <w:b/>
          <w:bCs/>
          <w:sz w:val="22"/>
          <w:szCs w:val="22"/>
        </w:rPr>
      </w:pPr>
    </w:p>
    <w:p w:rsidR="00006E49" w:rsidRDefault="00006E49" w:rsidP="00006E49">
      <w:pPr>
        <w:autoSpaceDE w:val="0"/>
        <w:autoSpaceDN w:val="0"/>
        <w:adjustRightInd w:val="0"/>
        <w:spacing w:before="240" w:line="260" w:lineRule="exact"/>
        <w:jc w:val="both"/>
        <w:rPr>
          <w:rFonts w:ascii="Verdana" w:hAnsi="Verdana"/>
          <w:b/>
          <w:bCs/>
          <w:sz w:val="22"/>
          <w:szCs w:val="22"/>
        </w:rPr>
      </w:pPr>
    </w:p>
    <w:p w:rsidR="00006E49" w:rsidRPr="00443B40" w:rsidRDefault="00006E49" w:rsidP="00006E49">
      <w:pPr>
        <w:autoSpaceDE w:val="0"/>
        <w:autoSpaceDN w:val="0"/>
        <w:adjustRightInd w:val="0"/>
        <w:spacing w:before="240" w:line="260" w:lineRule="exact"/>
        <w:jc w:val="both"/>
        <w:rPr>
          <w:rFonts w:ascii="Verdana" w:hAnsi="Verdana"/>
          <w:b/>
          <w:bCs/>
          <w:sz w:val="22"/>
          <w:szCs w:val="22"/>
        </w:rPr>
      </w:pPr>
    </w:p>
    <w:p w:rsidR="00E80F16" w:rsidRPr="00443B40" w:rsidRDefault="00E80F16" w:rsidP="007F4D6F">
      <w:pPr>
        <w:autoSpaceDE w:val="0"/>
        <w:autoSpaceDN w:val="0"/>
        <w:adjustRightInd w:val="0"/>
        <w:spacing w:before="240" w:line="260" w:lineRule="exact"/>
        <w:jc w:val="center"/>
        <w:rPr>
          <w:rFonts w:ascii="Verdana" w:hAnsi="Verdana" w:cs="Arial"/>
          <w:b/>
          <w:bCs/>
          <w:sz w:val="22"/>
          <w:szCs w:val="22"/>
        </w:rPr>
      </w:pPr>
      <w:r w:rsidRPr="00443B40">
        <w:rPr>
          <w:rFonts w:ascii="Verdana" w:hAnsi="Verdana" w:cs="Arial"/>
          <w:b/>
          <w:bCs/>
          <w:sz w:val="22"/>
          <w:szCs w:val="22"/>
        </w:rPr>
        <w:lastRenderedPageBreak/>
        <w:t>Marktmissbrauchsverordnung</w:t>
      </w:r>
      <w:r w:rsidR="00A71C30" w:rsidRPr="00443B40">
        <w:rPr>
          <w:rFonts w:ascii="Verdana" w:hAnsi="Verdana" w:cs="Arial"/>
          <w:b/>
          <w:bCs/>
          <w:sz w:val="22"/>
          <w:szCs w:val="22"/>
        </w:rPr>
        <w:t xml:space="preserve"> (EU) Nr. 596/2014 </w:t>
      </w:r>
    </w:p>
    <w:p w:rsidR="00BE4A31" w:rsidRPr="00443B40" w:rsidRDefault="00BE4A31" w:rsidP="007F4D6F">
      <w:pPr>
        <w:autoSpaceDE w:val="0"/>
        <w:autoSpaceDN w:val="0"/>
        <w:adjustRightInd w:val="0"/>
        <w:spacing w:before="240" w:line="260" w:lineRule="exact"/>
        <w:jc w:val="center"/>
        <w:rPr>
          <w:rFonts w:ascii="Verdana" w:hAnsi="Verdana" w:cs="Arial"/>
          <w:b/>
          <w:bCs/>
          <w:sz w:val="22"/>
          <w:szCs w:val="22"/>
        </w:rPr>
      </w:pPr>
      <w:r w:rsidRPr="00443B40">
        <w:rPr>
          <w:rFonts w:ascii="Verdana" w:hAnsi="Verdana" w:cs="Arial"/>
          <w:b/>
          <w:bCs/>
          <w:sz w:val="22"/>
          <w:szCs w:val="22"/>
        </w:rPr>
        <w:t>Artikel 2</w:t>
      </w:r>
      <w:r w:rsidRPr="00443B40">
        <w:rPr>
          <w:rFonts w:ascii="Verdana" w:hAnsi="Verdana" w:cs="Arial"/>
          <w:b/>
          <w:bCs/>
          <w:sz w:val="22"/>
          <w:szCs w:val="22"/>
        </w:rPr>
        <w:br/>
        <w:t>Anwendungsbereich</w:t>
      </w:r>
    </w:p>
    <w:p w:rsidR="00BE4A31" w:rsidRPr="00443B40" w:rsidRDefault="00BE4A31" w:rsidP="007F4D6F">
      <w:pPr>
        <w:autoSpaceDE w:val="0"/>
        <w:autoSpaceDN w:val="0"/>
        <w:adjustRightInd w:val="0"/>
        <w:spacing w:before="240" w:line="260" w:lineRule="exact"/>
        <w:jc w:val="both"/>
        <w:rPr>
          <w:rFonts w:ascii="Verdana" w:hAnsi="Verdana" w:cs="Arial"/>
          <w:color w:val="19161B"/>
          <w:sz w:val="22"/>
          <w:szCs w:val="22"/>
        </w:rPr>
      </w:pPr>
      <w:r w:rsidRPr="00443B40">
        <w:rPr>
          <w:rFonts w:ascii="Verdana" w:hAnsi="Verdana" w:cs="Arial"/>
          <w:color w:val="19161B"/>
          <w:sz w:val="22"/>
          <w:szCs w:val="22"/>
        </w:rPr>
        <w:t>(1) Diese Verordnung gilt für</w:t>
      </w:r>
    </w:p>
    <w:p w:rsidR="00BE4A31" w:rsidRPr="00443B40" w:rsidRDefault="00BE4A31" w:rsidP="007F4D6F">
      <w:pPr>
        <w:autoSpaceDE w:val="0"/>
        <w:autoSpaceDN w:val="0"/>
        <w:adjustRightInd w:val="0"/>
        <w:spacing w:before="240" w:line="260" w:lineRule="exact"/>
        <w:jc w:val="both"/>
        <w:rPr>
          <w:rFonts w:ascii="Verdana" w:hAnsi="Verdana" w:cs="Arial"/>
          <w:color w:val="19161B"/>
          <w:sz w:val="22"/>
          <w:szCs w:val="22"/>
        </w:rPr>
      </w:pPr>
      <w:r w:rsidRPr="00443B40">
        <w:rPr>
          <w:rFonts w:ascii="Verdana" w:hAnsi="Verdana" w:cs="Arial"/>
          <w:color w:val="19161B"/>
          <w:sz w:val="22"/>
          <w:szCs w:val="22"/>
        </w:rPr>
        <w:t>a) Finanzinstrumente, die zum Handel auf einem geregelten Markt zugelassen sind oder für die ein Antrag auf Zulassung zum Handel auf einem geregelten Markt gestellt wurde;</w:t>
      </w:r>
    </w:p>
    <w:p w:rsidR="00BE4A31" w:rsidRPr="00443B40" w:rsidRDefault="00BE4A31" w:rsidP="007F4D6F">
      <w:pPr>
        <w:autoSpaceDE w:val="0"/>
        <w:autoSpaceDN w:val="0"/>
        <w:adjustRightInd w:val="0"/>
        <w:spacing w:before="240" w:line="260" w:lineRule="exact"/>
        <w:jc w:val="both"/>
        <w:rPr>
          <w:rFonts w:ascii="Verdana" w:hAnsi="Verdana" w:cs="Arial"/>
          <w:color w:val="19161B"/>
          <w:sz w:val="22"/>
          <w:szCs w:val="22"/>
        </w:rPr>
      </w:pPr>
      <w:r w:rsidRPr="00443B40">
        <w:rPr>
          <w:rFonts w:ascii="Verdana" w:hAnsi="Verdana" w:cs="Arial"/>
          <w:color w:val="19161B"/>
          <w:sz w:val="22"/>
          <w:szCs w:val="22"/>
        </w:rPr>
        <w:t>b) Finanzinstrumente, die in einem multilateralen Handelssystem gehandelt werden, zum Handel in einem multilateralen Handelssystem zugelassen sind oder für die ein Antrag auf Zulassung zum Handel in einem multilateralen Handelssystem gestellt wurde;</w:t>
      </w:r>
    </w:p>
    <w:p w:rsidR="00BE4A31" w:rsidRPr="00443B40" w:rsidRDefault="00BE4A31" w:rsidP="007F4D6F">
      <w:pPr>
        <w:autoSpaceDE w:val="0"/>
        <w:autoSpaceDN w:val="0"/>
        <w:adjustRightInd w:val="0"/>
        <w:spacing w:before="240" w:line="260" w:lineRule="exact"/>
        <w:jc w:val="both"/>
        <w:rPr>
          <w:rFonts w:ascii="Verdana" w:hAnsi="Verdana" w:cs="Arial"/>
          <w:color w:val="19161B"/>
          <w:sz w:val="22"/>
          <w:szCs w:val="22"/>
        </w:rPr>
      </w:pPr>
      <w:r w:rsidRPr="00443B40">
        <w:rPr>
          <w:rFonts w:ascii="Verdana" w:hAnsi="Verdana" w:cs="Arial"/>
          <w:color w:val="19161B"/>
          <w:sz w:val="22"/>
          <w:szCs w:val="22"/>
        </w:rPr>
        <w:t>c) Finanzinstrumente, die in einem organisierten Handelssystem gehandelt werden;</w:t>
      </w:r>
    </w:p>
    <w:p w:rsidR="00BE4A31" w:rsidRPr="00443B40" w:rsidRDefault="00BE4A31" w:rsidP="007F4D6F">
      <w:pPr>
        <w:autoSpaceDE w:val="0"/>
        <w:autoSpaceDN w:val="0"/>
        <w:adjustRightInd w:val="0"/>
        <w:spacing w:before="240" w:line="260" w:lineRule="exact"/>
        <w:jc w:val="both"/>
        <w:rPr>
          <w:rFonts w:ascii="Verdana" w:hAnsi="Verdana" w:cs="Arial"/>
          <w:color w:val="19161B"/>
          <w:sz w:val="22"/>
          <w:szCs w:val="22"/>
        </w:rPr>
      </w:pPr>
      <w:r w:rsidRPr="00443B40">
        <w:rPr>
          <w:rFonts w:ascii="Verdana" w:hAnsi="Verdana" w:cs="Arial"/>
          <w:color w:val="19161B"/>
          <w:sz w:val="22"/>
          <w:szCs w:val="22"/>
        </w:rPr>
        <w:t>d) Finanzinstrumente, die nicht unter die Buchstaben a, b oder c fallen, deren Kurs oder Wert jedoch von dem Kurs oder Wert eines unter diesen Buchstaben genannten Finanzinstruments abhängt oder sich darauf auswirkt; sie umfassen Kreditausfall-Swaps oder Differenzkontrakte, sind jedoch nicht darauf beschränkt.</w:t>
      </w:r>
    </w:p>
    <w:p w:rsidR="00BE4A31" w:rsidRPr="00443B40" w:rsidRDefault="00BE4A31" w:rsidP="007F4D6F">
      <w:pPr>
        <w:autoSpaceDE w:val="0"/>
        <w:autoSpaceDN w:val="0"/>
        <w:adjustRightInd w:val="0"/>
        <w:spacing w:before="240" w:line="260" w:lineRule="exact"/>
        <w:jc w:val="both"/>
        <w:rPr>
          <w:rFonts w:ascii="Verdana" w:hAnsi="Verdana" w:cs="Arial"/>
          <w:color w:val="19161B"/>
          <w:sz w:val="22"/>
          <w:szCs w:val="22"/>
        </w:rPr>
      </w:pPr>
      <w:r w:rsidRPr="00443B40">
        <w:rPr>
          <w:rFonts w:ascii="Verdana" w:hAnsi="Verdana" w:cs="Arial"/>
          <w:color w:val="19161B"/>
          <w:sz w:val="22"/>
          <w:szCs w:val="22"/>
        </w:rPr>
        <w:t>(…)</w:t>
      </w:r>
    </w:p>
    <w:p w:rsidR="00BE4A31" w:rsidRPr="00443B40" w:rsidRDefault="00BE4A31" w:rsidP="007F4D6F">
      <w:pPr>
        <w:autoSpaceDE w:val="0"/>
        <w:autoSpaceDN w:val="0"/>
        <w:adjustRightInd w:val="0"/>
        <w:spacing w:before="240" w:line="260" w:lineRule="exact"/>
        <w:jc w:val="both"/>
        <w:rPr>
          <w:rFonts w:ascii="Verdana" w:hAnsi="Verdana" w:cs="Arial"/>
          <w:color w:val="19161B"/>
          <w:sz w:val="22"/>
          <w:szCs w:val="22"/>
        </w:rPr>
      </w:pPr>
      <w:r w:rsidRPr="00443B40">
        <w:rPr>
          <w:rFonts w:ascii="Verdana" w:hAnsi="Verdana" w:cs="Arial"/>
          <w:color w:val="19161B"/>
          <w:sz w:val="22"/>
          <w:szCs w:val="22"/>
        </w:rPr>
        <w:t>(3) Diese Verordnung gilt für alle Geschäfte, Aufträge und Handlungen, die eines der in den Absätzen 1 und 2 genannten Finanzinstrumente betreffen, unabhängig davon, ob ein solches Geschäft, ein solcher Auftrag oder eine solche Handlung auf einem Handelsplatz getätigt wurden.</w:t>
      </w:r>
    </w:p>
    <w:p w:rsidR="00BE4A31" w:rsidRPr="00443B40" w:rsidRDefault="00BE4A31" w:rsidP="007F4D6F">
      <w:pPr>
        <w:autoSpaceDE w:val="0"/>
        <w:autoSpaceDN w:val="0"/>
        <w:adjustRightInd w:val="0"/>
        <w:spacing w:before="240" w:line="260" w:lineRule="exact"/>
        <w:jc w:val="both"/>
        <w:rPr>
          <w:rFonts w:ascii="Verdana" w:hAnsi="Verdana" w:cs="Arial"/>
          <w:color w:val="19161B"/>
          <w:sz w:val="22"/>
          <w:szCs w:val="22"/>
        </w:rPr>
      </w:pPr>
      <w:r w:rsidRPr="00443B40">
        <w:rPr>
          <w:rFonts w:ascii="Verdana" w:hAnsi="Verdana" w:cs="Arial"/>
          <w:color w:val="19161B"/>
          <w:sz w:val="22"/>
          <w:szCs w:val="22"/>
        </w:rPr>
        <w:t>(4) Die Verbote und Anforderungen dieser Verordnung gelten für Handlungen und Unterlassungen in der Union und in Drittländern in Bezug auf die in den Absätzen 1 und 2 genannten Instrumente.</w:t>
      </w:r>
    </w:p>
    <w:p w:rsidR="005262F8" w:rsidRPr="00443B40" w:rsidRDefault="005262F8" w:rsidP="007F4D6F">
      <w:pPr>
        <w:autoSpaceDE w:val="0"/>
        <w:autoSpaceDN w:val="0"/>
        <w:adjustRightInd w:val="0"/>
        <w:spacing w:before="240" w:line="260" w:lineRule="exact"/>
        <w:jc w:val="center"/>
        <w:rPr>
          <w:rFonts w:ascii="Verdana" w:hAnsi="Verdana" w:cs="Arial"/>
          <w:b/>
          <w:bCs/>
          <w:sz w:val="22"/>
          <w:szCs w:val="22"/>
        </w:rPr>
      </w:pPr>
      <w:r w:rsidRPr="00443B40">
        <w:rPr>
          <w:rFonts w:ascii="Verdana" w:hAnsi="Verdana" w:cs="Arial"/>
          <w:b/>
          <w:bCs/>
          <w:sz w:val="22"/>
          <w:szCs w:val="22"/>
        </w:rPr>
        <w:t>Artikel 3</w:t>
      </w:r>
      <w:r w:rsidR="00B80CA9" w:rsidRPr="00443B40">
        <w:rPr>
          <w:rFonts w:ascii="Verdana" w:hAnsi="Verdana" w:cs="Arial"/>
          <w:b/>
          <w:bCs/>
          <w:sz w:val="22"/>
          <w:szCs w:val="22"/>
        </w:rPr>
        <w:br/>
      </w:r>
      <w:r w:rsidR="00FA77DB" w:rsidRPr="00443B40">
        <w:rPr>
          <w:rFonts w:ascii="Verdana" w:hAnsi="Verdana" w:cs="Arial"/>
          <w:b/>
          <w:bCs/>
          <w:sz w:val="22"/>
          <w:szCs w:val="22"/>
        </w:rPr>
        <w:t>Begriffsbestimmu</w:t>
      </w:r>
      <w:r w:rsidR="00B80CA9" w:rsidRPr="00443B40">
        <w:rPr>
          <w:rFonts w:ascii="Verdana" w:hAnsi="Verdana" w:cs="Arial"/>
          <w:b/>
          <w:bCs/>
          <w:sz w:val="22"/>
          <w:szCs w:val="22"/>
        </w:rPr>
        <w:t>ngen</w:t>
      </w:r>
    </w:p>
    <w:p w:rsidR="005262F8" w:rsidRPr="00443B40" w:rsidRDefault="005262F8" w:rsidP="007F4D6F">
      <w:pPr>
        <w:pStyle w:val="CM4"/>
        <w:spacing w:before="240" w:line="260" w:lineRule="exact"/>
        <w:jc w:val="both"/>
        <w:rPr>
          <w:rFonts w:ascii="Verdana" w:hAnsi="Verdana" w:cs="Arial"/>
          <w:color w:val="19161B"/>
          <w:sz w:val="22"/>
          <w:szCs w:val="22"/>
        </w:rPr>
      </w:pPr>
      <w:r w:rsidRPr="00443B40">
        <w:rPr>
          <w:rFonts w:ascii="Verdana" w:hAnsi="Verdana" w:cs="Arial"/>
          <w:color w:val="19161B"/>
          <w:sz w:val="22"/>
          <w:szCs w:val="22"/>
        </w:rPr>
        <w:t xml:space="preserve">(1) Für die Zwecke dieser Verordnung gelten folgende Begriffsbestimmungen: </w:t>
      </w:r>
    </w:p>
    <w:p w:rsidR="005262F8" w:rsidRPr="00443B40" w:rsidRDefault="005262F8" w:rsidP="007F4D6F">
      <w:pPr>
        <w:autoSpaceDE w:val="0"/>
        <w:autoSpaceDN w:val="0"/>
        <w:adjustRightInd w:val="0"/>
        <w:spacing w:before="240" w:line="260" w:lineRule="exact"/>
        <w:ind w:left="360"/>
        <w:jc w:val="both"/>
        <w:rPr>
          <w:rFonts w:ascii="Verdana" w:hAnsi="Verdana" w:cs="Arial"/>
          <w:color w:val="19161B"/>
          <w:sz w:val="22"/>
          <w:szCs w:val="22"/>
        </w:rPr>
      </w:pPr>
      <w:r w:rsidRPr="00443B40">
        <w:rPr>
          <w:rFonts w:ascii="Verdana" w:hAnsi="Verdana" w:cs="Arial"/>
          <w:color w:val="19161B"/>
          <w:sz w:val="22"/>
          <w:szCs w:val="22"/>
        </w:rPr>
        <w:t>1. „Finanzinstrument“ bezeichnet ein Finanzinstrument im Sinne von Artikel 4 Absatz 1 Nummer 15 der Richtlinie 2014/65/EU;</w:t>
      </w:r>
    </w:p>
    <w:p w:rsidR="005262F8" w:rsidRPr="00443B40" w:rsidRDefault="00B43476" w:rsidP="007F4D6F">
      <w:pPr>
        <w:autoSpaceDE w:val="0"/>
        <w:autoSpaceDN w:val="0"/>
        <w:adjustRightInd w:val="0"/>
        <w:spacing w:before="240" w:line="260" w:lineRule="exact"/>
        <w:ind w:left="360"/>
        <w:jc w:val="both"/>
        <w:rPr>
          <w:rFonts w:ascii="Verdana" w:hAnsi="Verdana" w:cs="Arial"/>
          <w:color w:val="19161B"/>
          <w:sz w:val="22"/>
          <w:szCs w:val="22"/>
        </w:rPr>
      </w:pPr>
      <w:r w:rsidRPr="00443B40">
        <w:rPr>
          <w:rFonts w:ascii="Verdana" w:hAnsi="Verdana" w:cs="Arial"/>
          <w:color w:val="19161B"/>
          <w:sz w:val="22"/>
          <w:szCs w:val="22"/>
        </w:rPr>
        <w:t>(</w:t>
      </w:r>
      <w:r w:rsidR="005262F8" w:rsidRPr="00443B40">
        <w:rPr>
          <w:rFonts w:ascii="Verdana" w:hAnsi="Verdana" w:cs="Arial"/>
          <w:color w:val="19161B"/>
          <w:sz w:val="22"/>
          <w:szCs w:val="22"/>
        </w:rPr>
        <w:t>…</w:t>
      </w:r>
      <w:r w:rsidRPr="00443B40">
        <w:rPr>
          <w:rFonts w:ascii="Verdana" w:hAnsi="Verdana" w:cs="Arial"/>
          <w:color w:val="19161B"/>
          <w:sz w:val="22"/>
          <w:szCs w:val="22"/>
        </w:rPr>
        <w:t>)</w:t>
      </w:r>
    </w:p>
    <w:p w:rsidR="00E56D88" w:rsidRPr="00443B40" w:rsidRDefault="00E56D88" w:rsidP="007F4D6F">
      <w:pPr>
        <w:autoSpaceDE w:val="0"/>
        <w:autoSpaceDN w:val="0"/>
        <w:adjustRightInd w:val="0"/>
        <w:spacing w:before="240" w:line="260" w:lineRule="exact"/>
        <w:ind w:left="360"/>
        <w:jc w:val="both"/>
        <w:rPr>
          <w:rFonts w:ascii="Verdana" w:hAnsi="Verdana" w:cs="Arial"/>
          <w:color w:val="19161B"/>
          <w:sz w:val="22"/>
          <w:szCs w:val="22"/>
        </w:rPr>
      </w:pPr>
      <w:r w:rsidRPr="00443B40">
        <w:rPr>
          <w:rFonts w:ascii="Verdana" w:hAnsi="Verdana" w:cs="Arial"/>
          <w:color w:val="19161B"/>
          <w:sz w:val="22"/>
          <w:szCs w:val="22"/>
        </w:rPr>
        <w:t>6. „geregelter Markt“ bezeichnet einen geregelten Markt im Sinne von Artikel 4 Absatz 1 Nummer 21 der Richtlinie</w:t>
      </w:r>
    </w:p>
    <w:p w:rsidR="00E56D88" w:rsidRPr="00443B40" w:rsidRDefault="00E56D88" w:rsidP="007F4D6F">
      <w:pPr>
        <w:autoSpaceDE w:val="0"/>
        <w:autoSpaceDN w:val="0"/>
        <w:adjustRightInd w:val="0"/>
        <w:spacing w:before="240" w:line="260" w:lineRule="exact"/>
        <w:ind w:left="360"/>
        <w:jc w:val="both"/>
        <w:rPr>
          <w:rFonts w:ascii="Verdana" w:hAnsi="Verdana" w:cs="Arial"/>
          <w:color w:val="19161B"/>
          <w:sz w:val="22"/>
          <w:szCs w:val="22"/>
        </w:rPr>
      </w:pPr>
      <w:r w:rsidRPr="00443B40">
        <w:rPr>
          <w:rFonts w:ascii="Verdana" w:hAnsi="Verdana" w:cs="Arial"/>
          <w:color w:val="19161B"/>
          <w:sz w:val="22"/>
          <w:szCs w:val="22"/>
        </w:rPr>
        <w:t>2014/65/EU;</w:t>
      </w:r>
    </w:p>
    <w:p w:rsidR="00E56D88" w:rsidRPr="00443B40" w:rsidRDefault="00E56D88" w:rsidP="007F4D6F">
      <w:pPr>
        <w:autoSpaceDE w:val="0"/>
        <w:autoSpaceDN w:val="0"/>
        <w:adjustRightInd w:val="0"/>
        <w:spacing w:before="240" w:line="260" w:lineRule="exact"/>
        <w:ind w:left="360"/>
        <w:jc w:val="both"/>
        <w:rPr>
          <w:rFonts w:ascii="Verdana" w:hAnsi="Verdana" w:cs="Arial"/>
          <w:color w:val="19161B"/>
          <w:sz w:val="22"/>
          <w:szCs w:val="22"/>
        </w:rPr>
      </w:pPr>
      <w:r w:rsidRPr="00443B40">
        <w:rPr>
          <w:rFonts w:ascii="Verdana" w:hAnsi="Verdana" w:cs="Arial"/>
          <w:color w:val="19161B"/>
          <w:sz w:val="22"/>
          <w:szCs w:val="22"/>
        </w:rPr>
        <w:t>7. „multilaterales Handelssystem“ bezeichnet ein multilaterales System in der Union im Sinne von Artikel 4 Absatz 1</w:t>
      </w:r>
    </w:p>
    <w:p w:rsidR="00E56D88" w:rsidRPr="00443B40" w:rsidRDefault="00E56D88" w:rsidP="007F4D6F">
      <w:pPr>
        <w:autoSpaceDE w:val="0"/>
        <w:autoSpaceDN w:val="0"/>
        <w:adjustRightInd w:val="0"/>
        <w:spacing w:before="240" w:line="260" w:lineRule="exact"/>
        <w:ind w:left="360"/>
        <w:jc w:val="both"/>
        <w:rPr>
          <w:rFonts w:ascii="Verdana" w:hAnsi="Verdana" w:cs="Arial"/>
          <w:color w:val="19161B"/>
          <w:sz w:val="22"/>
          <w:szCs w:val="22"/>
        </w:rPr>
      </w:pPr>
      <w:r w:rsidRPr="00443B40">
        <w:rPr>
          <w:rFonts w:ascii="Verdana" w:hAnsi="Verdana" w:cs="Arial"/>
          <w:color w:val="19161B"/>
          <w:sz w:val="22"/>
          <w:szCs w:val="22"/>
        </w:rPr>
        <w:lastRenderedPageBreak/>
        <w:t>Nummer 22 der Richtlinie 2014/65/EU;</w:t>
      </w:r>
    </w:p>
    <w:p w:rsidR="00E56D88" w:rsidRPr="00443B40" w:rsidRDefault="00E56D88" w:rsidP="007F4D6F">
      <w:pPr>
        <w:autoSpaceDE w:val="0"/>
        <w:autoSpaceDN w:val="0"/>
        <w:adjustRightInd w:val="0"/>
        <w:spacing w:before="240" w:line="260" w:lineRule="exact"/>
        <w:ind w:left="360"/>
        <w:jc w:val="both"/>
        <w:rPr>
          <w:rFonts w:ascii="Verdana" w:hAnsi="Verdana" w:cs="Arial"/>
          <w:color w:val="19161B"/>
          <w:sz w:val="22"/>
          <w:szCs w:val="22"/>
        </w:rPr>
      </w:pPr>
      <w:r w:rsidRPr="00443B40">
        <w:rPr>
          <w:rFonts w:ascii="Verdana" w:hAnsi="Verdana" w:cs="Arial"/>
          <w:color w:val="19161B"/>
          <w:sz w:val="22"/>
          <w:szCs w:val="22"/>
        </w:rPr>
        <w:t>8. „organisiertes Handelssystem“ bezeichnet ein System oder eine Fazilität in der Union im Sinne von Artikel 4 Absatz 1</w:t>
      </w:r>
    </w:p>
    <w:p w:rsidR="00E56D88" w:rsidRPr="00443B40" w:rsidRDefault="00E56D88" w:rsidP="007F4D6F">
      <w:pPr>
        <w:autoSpaceDE w:val="0"/>
        <w:autoSpaceDN w:val="0"/>
        <w:adjustRightInd w:val="0"/>
        <w:spacing w:before="240" w:line="260" w:lineRule="exact"/>
        <w:ind w:left="360"/>
        <w:jc w:val="both"/>
        <w:rPr>
          <w:rFonts w:ascii="Verdana" w:hAnsi="Verdana" w:cs="Arial"/>
          <w:color w:val="19161B"/>
          <w:sz w:val="22"/>
          <w:szCs w:val="22"/>
        </w:rPr>
      </w:pPr>
      <w:r w:rsidRPr="00443B40">
        <w:rPr>
          <w:rFonts w:ascii="Verdana" w:hAnsi="Verdana" w:cs="Arial"/>
          <w:color w:val="19161B"/>
          <w:sz w:val="22"/>
          <w:szCs w:val="22"/>
        </w:rPr>
        <w:t>Nummer 23 der Richtlinie 2014/65/EU;</w:t>
      </w:r>
    </w:p>
    <w:p w:rsidR="00E56D88" w:rsidRPr="00443B40" w:rsidRDefault="00E56D88" w:rsidP="007F4D6F">
      <w:pPr>
        <w:autoSpaceDE w:val="0"/>
        <w:autoSpaceDN w:val="0"/>
        <w:adjustRightInd w:val="0"/>
        <w:spacing w:before="240" w:line="260" w:lineRule="exact"/>
        <w:ind w:left="360"/>
        <w:jc w:val="both"/>
        <w:rPr>
          <w:rFonts w:ascii="Verdana" w:hAnsi="Verdana" w:cs="Arial"/>
          <w:color w:val="19161B"/>
          <w:sz w:val="22"/>
          <w:szCs w:val="22"/>
        </w:rPr>
      </w:pPr>
      <w:r w:rsidRPr="00443B40">
        <w:rPr>
          <w:rFonts w:ascii="Verdana" w:hAnsi="Verdana" w:cs="Arial"/>
          <w:color w:val="19161B"/>
          <w:sz w:val="22"/>
          <w:szCs w:val="22"/>
        </w:rPr>
        <w:t>(…)</w:t>
      </w:r>
    </w:p>
    <w:p w:rsidR="00E56D88" w:rsidRPr="00443B40" w:rsidRDefault="00E56D88" w:rsidP="007F4D6F">
      <w:pPr>
        <w:autoSpaceDE w:val="0"/>
        <w:autoSpaceDN w:val="0"/>
        <w:adjustRightInd w:val="0"/>
        <w:spacing w:before="240" w:line="260" w:lineRule="exact"/>
        <w:ind w:left="360"/>
        <w:jc w:val="both"/>
        <w:rPr>
          <w:rFonts w:ascii="Verdana" w:hAnsi="Verdana" w:cs="Arial"/>
          <w:color w:val="19161B"/>
          <w:sz w:val="22"/>
          <w:szCs w:val="22"/>
        </w:rPr>
      </w:pPr>
      <w:r w:rsidRPr="00443B40">
        <w:rPr>
          <w:rFonts w:ascii="Verdana" w:hAnsi="Verdana" w:cs="Arial"/>
          <w:color w:val="19161B"/>
          <w:sz w:val="22"/>
          <w:szCs w:val="22"/>
        </w:rPr>
        <w:t>21. „Emittent“ bezeichnet eine juristische Person des privaten oder öffentlichen Rechts, die Finanzinstrumente emittiert oder deren Emission vorschlägt, wobei der Emittent im Fall von Hinterlegungsscheinen, die Finanzinstrumente repräsentieren, der Emittent des repräsentierten Finanzinstruments ist;</w:t>
      </w:r>
    </w:p>
    <w:p w:rsidR="00E56D88" w:rsidRPr="00443B40" w:rsidRDefault="00E56D88" w:rsidP="007F4D6F">
      <w:pPr>
        <w:autoSpaceDE w:val="0"/>
        <w:autoSpaceDN w:val="0"/>
        <w:adjustRightInd w:val="0"/>
        <w:spacing w:before="240" w:line="260" w:lineRule="exact"/>
        <w:ind w:left="360"/>
        <w:jc w:val="both"/>
        <w:rPr>
          <w:rFonts w:ascii="Verdana" w:hAnsi="Verdana" w:cs="Arial"/>
          <w:color w:val="000000"/>
          <w:sz w:val="22"/>
          <w:szCs w:val="22"/>
        </w:rPr>
      </w:pPr>
      <w:r w:rsidRPr="00443B40">
        <w:rPr>
          <w:rFonts w:ascii="Verdana" w:hAnsi="Verdana" w:cs="Arial"/>
          <w:color w:val="19161B"/>
          <w:sz w:val="22"/>
          <w:szCs w:val="22"/>
        </w:rPr>
        <w:t>(…)</w:t>
      </w:r>
    </w:p>
    <w:p w:rsidR="00E80F16" w:rsidRPr="00443B40" w:rsidRDefault="00E80F16" w:rsidP="007F4D6F">
      <w:pPr>
        <w:autoSpaceDE w:val="0"/>
        <w:autoSpaceDN w:val="0"/>
        <w:adjustRightInd w:val="0"/>
        <w:spacing w:before="240" w:line="260" w:lineRule="exact"/>
        <w:jc w:val="center"/>
        <w:rPr>
          <w:rFonts w:ascii="Verdana" w:hAnsi="Verdana" w:cs="Arial"/>
          <w:b/>
          <w:bCs/>
          <w:sz w:val="22"/>
          <w:szCs w:val="22"/>
        </w:rPr>
      </w:pPr>
      <w:r w:rsidRPr="00443B40">
        <w:rPr>
          <w:rFonts w:ascii="Verdana" w:hAnsi="Verdana" w:cs="Arial"/>
          <w:b/>
          <w:bCs/>
          <w:sz w:val="22"/>
          <w:szCs w:val="22"/>
        </w:rPr>
        <w:t xml:space="preserve">Artikel 7 </w:t>
      </w:r>
      <w:r w:rsidR="00B80CA9" w:rsidRPr="00443B40">
        <w:rPr>
          <w:rFonts w:ascii="Verdana" w:hAnsi="Verdana" w:cs="Arial"/>
          <w:b/>
          <w:bCs/>
          <w:sz w:val="22"/>
          <w:szCs w:val="22"/>
        </w:rPr>
        <w:br/>
      </w:r>
      <w:r w:rsidRPr="00443B40">
        <w:rPr>
          <w:rFonts w:ascii="Verdana" w:hAnsi="Verdana" w:cs="Arial"/>
          <w:b/>
          <w:bCs/>
          <w:sz w:val="22"/>
          <w:szCs w:val="22"/>
        </w:rPr>
        <w:t>Insiderinformatione</w:t>
      </w:r>
      <w:r w:rsidR="00B80CA9" w:rsidRPr="00443B40">
        <w:rPr>
          <w:rFonts w:ascii="Verdana" w:hAnsi="Verdana" w:cs="Arial"/>
          <w:b/>
          <w:bCs/>
          <w:sz w:val="22"/>
          <w:szCs w:val="22"/>
        </w:rPr>
        <w:t>n</w:t>
      </w:r>
    </w:p>
    <w:p w:rsidR="00E80F16" w:rsidRPr="00443B40" w:rsidRDefault="00E80F16" w:rsidP="007F4D6F">
      <w:pPr>
        <w:pStyle w:val="CM4"/>
        <w:spacing w:before="240" w:line="260" w:lineRule="exact"/>
        <w:jc w:val="both"/>
        <w:rPr>
          <w:rFonts w:ascii="Verdana" w:hAnsi="Verdana" w:cs="Arial"/>
          <w:sz w:val="22"/>
          <w:szCs w:val="22"/>
          <w:lang w:bidi="ar-SA"/>
        </w:rPr>
      </w:pPr>
      <w:r w:rsidRPr="00443B40">
        <w:rPr>
          <w:rFonts w:ascii="Verdana" w:hAnsi="Verdana" w:cs="Arial"/>
          <w:sz w:val="22"/>
          <w:szCs w:val="22"/>
          <w:lang w:bidi="ar-SA"/>
        </w:rPr>
        <w:t xml:space="preserve">(1) Für die Zwecke dieser Verordnung umfasst der Begriff „Insiderinformationen“ folgende Arten von Informationen: </w:t>
      </w:r>
    </w:p>
    <w:p w:rsidR="00E80F16" w:rsidRPr="00443B40" w:rsidRDefault="00E80F16" w:rsidP="007F4D6F">
      <w:pPr>
        <w:pStyle w:val="CM4"/>
        <w:spacing w:before="240" w:line="260" w:lineRule="exact"/>
        <w:jc w:val="both"/>
        <w:rPr>
          <w:rFonts w:ascii="Verdana" w:hAnsi="Verdana" w:cs="Arial"/>
          <w:sz w:val="22"/>
          <w:szCs w:val="22"/>
          <w:lang w:bidi="ar-SA"/>
        </w:rPr>
      </w:pPr>
      <w:r w:rsidRPr="00443B40">
        <w:rPr>
          <w:rFonts w:ascii="Verdana" w:hAnsi="Verdana" w:cs="Arial"/>
          <w:sz w:val="22"/>
          <w:szCs w:val="22"/>
          <w:lang w:bidi="ar-SA"/>
        </w:rPr>
        <w:t xml:space="preserve">a) nicht öffentlich bekannte präzise Informationen, die direkt oder indirekt einen oder mehrere Emittenten oder ein oder mehrere Finanzinstrumente betreffen und die, wenn sie öffentlich bekannt würden, geeignet wären, den Kurs dieser Finanzinstrumente oder den Kurs damit verbundener derivativer Finanzinstrumente erheblich zu beeinflussen; </w:t>
      </w:r>
    </w:p>
    <w:p w:rsidR="00E80F16" w:rsidRPr="00443B40" w:rsidRDefault="00444D90" w:rsidP="007F4D6F">
      <w:pPr>
        <w:pStyle w:val="CM4"/>
        <w:spacing w:before="240" w:line="260" w:lineRule="exact"/>
        <w:jc w:val="both"/>
        <w:rPr>
          <w:rFonts w:ascii="Verdana" w:hAnsi="Verdana" w:cs="Arial"/>
          <w:sz w:val="22"/>
          <w:szCs w:val="22"/>
          <w:lang w:bidi="ar-SA"/>
        </w:rPr>
      </w:pPr>
      <w:r w:rsidRPr="00443B40">
        <w:rPr>
          <w:rFonts w:ascii="Verdana" w:hAnsi="Verdana" w:cs="Arial"/>
          <w:sz w:val="22"/>
          <w:szCs w:val="22"/>
          <w:lang w:bidi="ar-SA"/>
        </w:rPr>
        <w:t>(…)</w:t>
      </w:r>
    </w:p>
    <w:p w:rsidR="00E80F16" w:rsidRPr="00443B40" w:rsidRDefault="00E80F16" w:rsidP="007F4D6F">
      <w:pPr>
        <w:pStyle w:val="CM4"/>
        <w:spacing w:before="240" w:line="260" w:lineRule="exact"/>
        <w:jc w:val="both"/>
        <w:rPr>
          <w:rFonts w:ascii="Verdana" w:hAnsi="Verdana" w:cs="Arial"/>
          <w:sz w:val="22"/>
          <w:szCs w:val="22"/>
          <w:lang w:bidi="ar-SA"/>
        </w:rPr>
      </w:pPr>
      <w:r w:rsidRPr="00443B40">
        <w:rPr>
          <w:rFonts w:ascii="Verdana" w:hAnsi="Verdana" w:cs="Arial"/>
          <w:sz w:val="22"/>
          <w:szCs w:val="22"/>
          <w:lang w:bidi="ar-SA"/>
        </w:rPr>
        <w:t xml:space="preserve">d) für Personen, die mit der Ausführung von Aufträgen in Bezug auf Finanzinstrumente beauftragt sind, bezeichnet der Begriff auch Informationen, die von einem Kunden mitgeteilt wurden und sich auf die noch nicht ausgeführten Aufträge des Kunden in Bezug auf Finanzinstrumente beziehen, die präzise sind, direkt oder indirekt einen oder mehrere Emittenten oder ein oder mehrere Finanzinstrumente betreffen und die, wenn sie öffentlich bekannt würden, geeignet wären, den Kurs dieser Finanzinstrumente, damit verbundener Waren-Spot-Kontrakte oder zugehöriger derivativer Finanzinstrumente erheblich zu beeinflussen. </w:t>
      </w:r>
    </w:p>
    <w:p w:rsidR="00E80F16" w:rsidRPr="00443B40" w:rsidRDefault="00E80F16" w:rsidP="007F4D6F">
      <w:pPr>
        <w:pStyle w:val="CM4"/>
        <w:spacing w:before="240" w:line="260" w:lineRule="exact"/>
        <w:jc w:val="both"/>
        <w:rPr>
          <w:rFonts w:ascii="Verdana" w:hAnsi="Verdana" w:cs="Arial"/>
          <w:sz w:val="22"/>
          <w:szCs w:val="22"/>
          <w:lang w:bidi="ar-SA"/>
        </w:rPr>
      </w:pPr>
      <w:r w:rsidRPr="00443B40">
        <w:rPr>
          <w:rFonts w:ascii="Verdana" w:hAnsi="Verdana" w:cs="Arial"/>
          <w:sz w:val="22"/>
          <w:szCs w:val="22"/>
          <w:lang w:bidi="ar-SA"/>
        </w:rPr>
        <w:t xml:space="preserve">(2) Für die Zwecke des Absatzes 1 sind Informationen dann als präzise anzusehen, wenn damit eine Reihe von Umständen gemeint ist, die bereits gegeben sind oder bei denen man vernünftigerweise erwarten kann, dass sie in Zukunft gegeben sein werden, oder ein Ereignis, das bereits eingetreten ist oder von den vernünftigerweise erwarten kann, dass es in Zukunft eintreten wird, und diese Informationen darüber hinaus spezifisch genug sind, um einen Schluss auf die mögliche Auswirkung dieser Reihe von Umständen oder dieses Ereignisses auf die Kurse der Finanzinstrumente oder des damit verbundenen derivativen Finanzinstruments, der damit verbundenen Waren-Spot-Kontrakte oder der auf den Emissionszertifikaten beruhenden Auktionsobjekte zuzulassen. So können im Fall eines zeitlich gestreckten Vorgangs, der einen bestimmten Umstand oder ein </w:t>
      </w:r>
      <w:r w:rsidRPr="00443B40">
        <w:rPr>
          <w:rFonts w:ascii="Verdana" w:hAnsi="Verdana" w:cs="Arial"/>
          <w:sz w:val="22"/>
          <w:szCs w:val="22"/>
          <w:lang w:bidi="ar-SA"/>
        </w:rPr>
        <w:lastRenderedPageBreak/>
        <w:t xml:space="preserve">bestimmtes Ereignis herbeiführen soll oder hervorbringt, dieser betreffende zukünftige Umstand bzw. das betreffende zukünftige Ereignis und auch die Zwischenschritte in diesem Vorgang, die mit der Herbeiführung oder Hervorbringung dieses zukünftigen Umstandes oder Ereignisses verbunden sind, in dieser Hinsicht als präzise Information betrachtet werden. </w:t>
      </w:r>
    </w:p>
    <w:p w:rsidR="00E80F16" w:rsidRPr="00443B40" w:rsidRDefault="00E80F16" w:rsidP="007F4D6F">
      <w:pPr>
        <w:pStyle w:val="CM4"/>
        <w:spacing w:before="240" w:line="260" w:lineRule="exact"/>
        <w:jc w:val="both"/>
        <w:rPr>
          <w:rFonts w:ascii="Verdana" w:hAnsi="Verdana" w:cs="Arial"/>
          <w:sz w:val="22"/>
          <w:szCs w:val="22"/>
          <w:lang w:bidi="ar-SA"/>
        </w:rPr>
      </w:pPr>
      <w:r w:rsidRPr="00443B40">
        <w:rPr>
          <w:rFonts w:ascii="Verdana" w:hAnsi="Verdana" w:cs="Arial"/>
          <w:sz w:val="22"/>
          <w:szCs w:val="22"/>
          <w:lang w:bidi="ar-SA"/>
        </w:rPr>
        <w:t xml:space="preserve">(3) Ein Zwischenschritt in einem gestreckten Vorgang wird als eine Insiderinformation betrachtet, falls er für sich genommen die Kriterien für Insiderinformationen gemäß diesem Artikel erfüllt. </w:t>
      </w:r>
    </w:p>
    <w:p w:rsidR="00E80F16" w:rsidRPr="00443B40" w:rsidRDefault="00E80F16" w:rsidP="007F4D6F">
      <w:pPr>
        <w:pStyle w:val="CM4"/>
        <w:spacing w:before="240" w:line="260" w:lineRule="exact"/>
        <w:jc w:val="both"/>
        <w:rPr>
          <w:rFonts w:ascii="Verdana" w:hAnsi="Verdana" w:cs="Arial"/>
          <w:sz w:val="22"/>
          <w:szCs w:val="22"/>
          <w:lang w:bidi="ar-SA"/>
        </w:rPr>
      </w:pPr>
      <w:r w:rsidRPr="00443B40">
        <w:rPr>
          <w:rFonts w:ascii="Verdana" w:hAnsi="Verdana" w:cs="Arial"/>
          <w:sz w:val="22"/>
          <w:szCs w:val="22"/>
          <w:lang w:bidi="ar-SA"/>
        </w:rPr>
        <w:t xml:space="preserve">(4) Für die Zwecke des Absatzes 1 ist sind unter „Informationen, die, wenn sie öffentlich bekannt würden, geeignet wären, den Kurs von Finanzinstrumenten, derivativen Finanzinstrumenten, damit verbundenen Waren-Spot-Kontrakten oder auf Emissionszertifikaten beruhenden Auktionsobjekten spürbar zu beeinflussen“ Informationen zu verstehen, die ein verständiger Anleger wahrscheinlich als Teil der Grundlage seiner Anlageentscheidungen nutzen würde. </w:t>
      </w:r>
    </w:p>
    <w:p w:rsidR="00AD11D1" w:rsidRPr="00443B40" w:rsidRDefault="00B43476" w:rsidP="007F4D6F">
      <w:pPr>
        <w:autoSpaceDE w:val="0"/>
        <w:autoSpaceDN w:val="0"/>
        <w:adjustRightInd w:val="0"/>
        <w:spacing w:before="240" w:line="260" w:lineRule="exact"/>
        <w:jc w:val="both"/>
        <w:rPr>
          <w:rFonts w:ascii="Verdana" w:hAnsi="Verdana" w:cs="Arial"/>
          <w:sz w:val="22"/>
          <w:szCs w:val="22"/>
        </w:rPr>
      </w:pPr>
      <w:r w:rsidRPr="00443B40">
        <w:rPr>
          <w:rFonts w:ascii="Verdana" w:hAnsi="Verdana" w:cs="Arial"/>
          <w:sz w:val="22"/>
          <w:szCs w:val="22"/>
        </w:rPr>
        <w:t>(</w:t>
      </w:r>
      <w:r w:rsidR="00AD11D1" w:rsidRPr="00443B40">
        <w:rPr>
          <w:rFonts w:ascii="Verdana" w:hAnsi="Verdana" w:cs="Arial"/>
          <w:sz w:val="22"/>
          <w:szCs w:val="22"/>
        </w:rPr>
        <w:t>…</w:t>
      </w:r>
      <w:r w:rsidRPr="00443B40">
        <w:rPr>
          <w:rFonts w:ascii="Verdana" w:hAnsi="Verdana" w:cs="Arial"/>
          <w:sz w:val="22"/>
          <w:szCs w:val="22"/>
        </w:rPr>
        <w:t>)</w:t>
      </w:r>
    </w:p>
    <w:p w:rsidR="008D50DE" w:rsidRPr="00443B40" w:rsidRDefault="008D50DE" w:rsidP="007F4D6F">
      <w:pPr>
        <w:pStyle w:val="CM4"/>
        <w:spacing w:before="240" w:line="260" w:lineRule="exact"/>
        <w:jc w:val="center"/>
        <w:rPr>
          <w:rFonts w:ascii="Verdana" w:hAnsi="Verdana" w:cs="Arial"/>
          <w:b/>
          <w:bCs/>
          <w:color w:val="19161B"/>
          <w:sz w:val="22"/>
          <w:szCs w:val="22"/>
        </w:rPr>
      </w:pPr>
      <w:r w:rsidRPr="00443B40">
        <w:rPr>
          <w:rFonts w:ascii="Verdana" w:hAnsi="Verdana" w:cs="Arial"/>
          <w:b/>
          <w:bCs/>
          <w:color w:val="19161B"/>
          <w:sz w:val="22"/>
          <w:szCs w:val="22"/>
        </w:rPr>
        <w:t>Artikel 8</w:t>
      </w:r>
    </w:p>
    <w:p w:rsidR="008D50DE" w:rsidRPr="00443B40" w:rsidRDefault="008D50DE" w:rsidP="007F4D6F">
      <w:pPr>
        <w:pStyle w:val="CM4"/>
        <w:spacing w:before="240" w:line="260" w:lineRule="exact"/>
        <w:jc w:val="center"/>
        <w:rPr>
          <w:rFonts w:ascii="Verdana" w:hAnsi="Verdana" w:cs="Arial"/>
          <w:b/>
          <w:bCs/>
          <w:color w:val="19161B"/>
          <w:sz w:val="22"/>
          <w:szCs w:val="22"/>
        </w:rPr>
      </w:pPr>
      <w:r w:rsidRPr="00443B40">
        <w:rPr>
          <w:rFonts w:ascii="Verdana" w:hAnsi="Verdana" w:cs="Arial"/>
          <w:b/>
          <w:bCs/>
          <w:color w:val="19161B"/>
          <w:sz w:val="22"/>
          <w:szCs w:val="22"/>
        </w:rPr>
        <w:t>Insidergeschäfte</w:t>
      </w:r>
    </w:p>
    <w:p w:rsidR="008D50DE" w:rsidRPr="00443B40" w:rsidRDefault="008D50DE" w:rsidP="007F4D6F">
      <w:pPr>
        <w:pStyle w:val="CM4"/>
        <w:spacing w:before="240" w:line="260" w:lineRule="exact"/>
        <w:jc w:val="both"/>
        <w:rPr>
          <w:rFonts w:ascii="Verdana" w:hAnsi="Verdana" w:cs="Arial"/>
          <w:color w:val="19161B"/>
          <w:sz w:val="22"/>
          <w:szCs w:val="22"/>
        </w:rPr>
      </w:pPr>
      <w:r w:rsidRPr="00443B40">
        <w:rPr>
          <w:rFonts w:ascii="Verdana" w:hAnsi="Verdana" w:cs="Arial"/>
          <w:color w:val="19161B"/>
          <w:sz w:val="22"/>
          <w:szCs w:val="22"/>
        </w:rPr>
        <w:t xml:space="preserve">(1) Für die Zwecke dieser Verordnung liegt ein Insidergeschäft vor, wenn eine Person über Insiderinformationen verfügt und unter Nutzung derselben für eigene oder fremde Rechnung direkt oder indirekt Finanzinstrumente, auf die sich die Informationen beziehen, erwirbt oder veräußert. Die Nutzung von Insiderinformationen in Form der Stornierung oder Änderung eines Auftrags in Bezug auf ein Finanzinstrument, auf das sich die Informationen beziehen, gilt auch als Insidergeschäft, wenn der Auftrag vor Erlangen der Insiderinformationen erteilt wurde. </w:t>
      </w:r>
      <w:r w:rsidR="00F41523" w:rsidRPr="00443B40">
        <w:rPr>
          <w:rFonts w:ascii="Verdana" w:hAnsi="Verdana" w:cs="Arial"/>
          <w:color w:val="19161B"/>
          <w:sz w:val="22"/>
          <w:szCs w:val="22"/>
        </w:rPr>
        <w:t>(…)</w:t>
      </w:r>
      <w:r w:rsidRPr="00443B40">
        <w:rPr>
          <w:rFonts w:ascii="Verdana" w:hAnsi="Verdana" w:cs="Arial"/>
          <w:color w:val="19161B"/>
          <w:sz w:val="22"/>
          <w:szCs w:val="22"/>
        </w:rPr>
        <w:t xml:space="preserve"> </w:t>
      </w:r>
    </w:p>
    <w:p w:rsidR="008D50DE" w:rsidRPr="00443B40" w:rsidRDefault="008D50DE" w:rsidP="007F4D6F">
      <w:pPr>
        <w:pStyle w:val="CM4"/>
        <w:spacing w:before="240" w:line="260" w:lineRule="exact"/>
        <w:jc w:val="both"/>
        <w:rPr>
          <w:rFonts w:ascii="Verdana" w:hAnsi="Verdana" w:cs="Arial"/>
          <w:color w:val="19161B"/>
          <w:sz w:val="22"/>
          <w:szCs w:val="22"/>
        </w:rPr>
      </w:pPr>
      <w:r w:rsidRPr="00443B40">
        <w:rPr>
          <w:rFonts w:ascii="Verdana" w:hAnsi="Verdana" w:cs="Arial"/>
          <w:color w:val="19161B"/>
          <w:sz w:val="22"/>
          <w:szCs w:val="22"/>
        </w:rPr>
        <w:t xml:space="preserve">(2) Für die Zwecke dieser Verordnung liegt eine Empfehlung zum Tätigen von Insidergeschäften oder die Anstiftung Dritter hierzu vor, wenn eine Person über Insiderinformationen verfügt und </w:t>
      </w:r>
    </w:p>
    <w:p w:rsidR="008D50DE" w:rsidRPr="00443B40" w:rsidRDefault="008D50DE" w:rsidP="007F4D6F">
      <w:pPr>
        <w:pStyle w:val="CM4"/>
        <w:spacing w:before="240" w:line="260" w:lineRule="exact"/>
        <w:jc w:val="both"/>
        <w:rPr>
          <w:rFonts w:ascii="Verdana" w:hAnsi="Verdana" w:cs="Arial"/>
          <w:color w:val="19161B"/>
          <w:sz w:val="22"/>
          <w:szCs w:val="22"/>
        </w:rPr>
      </w:pPr>
      <w:r w:rsidRPr="00443B40">
        <w:rPr>
          <w:rFonts w:ascii="Verdana" w:hAnsi="Verdana" w:cs="Arial"/>
          <w:color w:val="19161B"/>
          <w:sz w:val="22"/>
          <w:szCs w:val="22"/>
        </w:rPr>
        <w:t xml:space="preserve">a) auf der Grundlage dieser Informationen Dritten empfiehlt, Finanzinstrumente, auf die sich die Informationen beziehen, zu erwerben oder zu veräußern, oder sie dazu anstiftet, einen solchen Erwerb oder eine solche Veräußerung vorzunehmen, oder </w:t>
      </w:r>
    </w:p>
    <w:p w:rsidR="008D50DE" w:rsidRPr="00443B40" w:rsidRDefault="008D50DE" w:rsidP="007F4D6F">
      <w:pPr>
        <w:pStyle w:val="CM4"/>
        <w:spacing w:before="240" w:line="260" w:lineRule="exact"/>
        <w:jc w:val="both"/>
        <w:rPr>
          <w:rFonts w:ascii="Verdana" w:hAnsi="Verdana" w:cs="Arial"/>
          <w:color w:val="19161B"/>
          <w:sz w:val="22"/>
          <w:szCs w:val="22"/>
        </w:rPr>
      </w:pPr>
      <w:r w:rsidRPr="00443B40">
        <w:rPr>
          <w:rFonts w:ascii="Verdana" w:hAnsi="Verdana" w:cs="Arial"/>
          <w:color w:val="19161B"/>
          <w:sz w:val="22"/>
          <w:szCs w:val="22"/>
        </w:rPr>
        <w:t>b) auf der Grundlage dieser Informationen Dritten empfiehlt, einen Auftrag, der ein Finanzinstrument betrifft, auf das sich die Informationen beziehen, zu stornieren oder zu ändern, oder sie dazu anstiftet, eine solche Stornierung oder Änderung vorzunehmen.</w:t>
      </w:r>
    </w:p>
    <w:p w:rsidR="008D50DE" w:rsidRPr="00443B40" w:rsidRDefault="008D50DE" w:rsidP="007F4D6F">
      <w:pPr>
        <w:pStyle w:val="CM4"/>
        <w:spacing w:before="240" w:line="260" w:lineRule="exact"/>
        <w:jc w:val="both"/>
        <w:rPr>
          <w:rFonts w:ascii="Verdana" w:hAnsi="Verdana" w:cs="Arial"/>
          <w:color w:val="19161B"/>
          <w:sz w:val="22"/>
          <w:szCs w:val="22"/>
        </w:rPr>
      </w:pPr>
      <w:r w:rsidRPr="00443B40">
        <w:rPr>
          <w:rFonts w:ascii="Verdana" w:hAnsi="Verdana" w:cs="Arial"/>
          <w:color w:val="19161B"/>
          <w:sz w:val="22"/>
          <w:szCs w:val="22"/>
        </w:rPr>
        <w:t xml:space="preserve">(3) Die Nutzung von Empfehlungen oder Anstiftungen gemäß Absatz 2 erfüllt den Tatbestand des Insidergeschäfts im Sinne dieses Artikels, wenn die Person, die die Empfehlung nutzt oder der Anstiftung folgt, weiß oder wissen sollte, dass diese auf Insiderinformationen beruht. </w:t>
      </w:r>
    </w:p>
    <w:p w:rsidR="008D50DE" w:rsidRPr="00443B40" w:rsidRDefault="008D50DE" w:rsidP="007F4D6F">
      <w:pPr>
        <w:pStyle w:val="CM4"/>
        <w:spacing w:before="240" w:line="260" w:lineRule="exact"/>
        <w:jc w:val="both"/>
        <w:rPr>
          <w:rFonts w:ascii="Verdana" w:hAnsi="Verdana" w:cs="Arial"/>
          <w:color w:val="19161B"/>
          <w:sz w:val="22"/>
          <w:szCs w:val="22"/>
        </w:rPr>
      </w:pPr>
      <w:r w:rsidRPr="00443B40">
        <w:rPr>
          <w:rFonts w:ascii="Verdana" w:hAnsi="Verdana" w:cs="Arial"/>
          <w:color w:val="19161B"/>
          <w:sz w:val="22"/>
          <w:szCs w:val="22"/>
        </w:rPr>
        <w:lastRenderedPageBreak/>
        <w:t xml:space="preserve">(4) Dieser Artikel gilt für jede Person, die über Insiderinformationen verfügt, weil sie </w:t>
      </w:r>
    </w:p>
    <w:p w:rsidR="008D50DE" w:rsidRPr="00443B40" w:rsidRDefault="008D50DE" w:rsidP="007F4D6F">
      <w:pPr>
        <w:pStyle w:val="CM4"/>
        <w:spacing w:before="240" w:line="260" w:lineRule="exact"/>
        <w:jc w:val="both"/>
        <w:rPr>
          <w:rFonts w:ascii="Verdana" w:hAnsi="Verdana" w:cs="Arial"/>
          <w:color w:val="19161B"/>
          <w:sz w:val="22"/>
          <w:szCs w:val="22"/>
        </w:rPr>
      </w:pPr>
      <w:r w:rsidRPr="00443B40">
        <w:rPr>
          <w:rFonts w:ascii="Verdana" w:hAnsi="Verdana" w:cs="Arial"/>
          <w:color w:val="19161B"/>
          <w:sz w:val="22"/>
          <w:szCs w:val="22"/>
        </w:rPr>
        <w:t xml:space="preserve">a) dem Verwaltungs-, Leitungs- oder Aufsichtsorgan des Emittenten oder des Teilnehmers am Markt für Emissionszertifikate angehört; </w:t>
      </w:r>
    </w:p>
    <w:p w:rsidR="008D50DE" w:rsidRPr="00443B40" w:rsidRDefault="008D50DE" w:rsidP="007F4D6F">
      <w:pPr>
        <w:pStyle w:val="CM4"/>
        <w:spacing w:before="240" w:line="260" w:lineRule="exact"/>
        <w:jc w:val="both"/>
        <w:rPr>
          <w:rFonts w:ascii="Verdana" w:hAnsi="Verdana" w:cs="Arial"/>
          <w:color w:val="19161B"/>
          <w:sz w:val="22"/>
          <w:szCs w:val="22"/>
        </w:rPr>
      </w:pPr>
      <w:r w:rsidRPr="00443B40">
        <w:rPr>
          <w:rFonts w:ascii="Verdana" w:hAnsi="Verdana" w:cs="Arial"/>
          <w:color w:val="19161B"/>
          <w:sz w:val="22"/>
          <w:szCs w:val="22"/>
        </w:rPr>
        <w:t xml:space="preserve">b) am Kapital des Emittenten oder des Teilnehmers am Markt für Emissionszertifikate beteiligt ist; </w:t>
      </w:r>
    </w:p>
    <w:p w:rsidR="008D50DE" w:rsidRPr="00443B40" w:rsidRDefault="008D50DE" w:rsidP="007F4D6F">
      <w:pPr>
        <w:pStyle w:val="CM4"/>
        <w:spacing w:before="240" w:line="260" w:lineRule="exact"/>
        <w:jc w:val="both"/>
        <w:rPr>
          <w:rFonts w:ascii="Verdana" w:hAnsi="Verdana" w:cs="Arial"/>
          <w:color w:val="19161B"/>
          <w:sz w:val="22"/>
          <w:szCs w:val="22"/>
        </w:rPr>
      </w:pPr>
      <w:r w:rsidRPr="00443B40">
        <w:rPr>
          <w:rFonts w:ascii="Verdana" w:hAnsi="Verdana" w:cs="Arial"/>
          <w:color w:val="19161B"/>
          <w:sz w:val="22"/>
          <w:szCs w:val="22"/>
        </w:rPr>
        <w:t xml:space="preserve">c) aufgrund der Ausübung einer Arbeit oder eines Berufs oder der Erfüllung von Aufgaben Zugang zu den betreffenden Informationen hat oder </w:t>
      </w:r>
    </w:p>
    <w:p w:rsidR="008D50DE" w:rsidRPr="00443B40" w:rsidRDefault="008D50DE" w:rsidP="007F4D6F">
      <w:pPr>
        <w:pStyle w:val="CM4"/>
        <w:spacing w:before="240" w:line="260" w:lineRule="exact"/>
        <w:jc w:val="both"/>
        <w:rPr>
          <w:rFonts w:ascii="Verdana" w:hAnsi="Verdana" w:cs="Arial"/>
          <w:color w:val="19161B"/>
          <w:sz w:val="22"/>
          <w:szCs w:val="22"/>
        </w:rPr>
      </w:pPr>
      <w:r w:rsidRPr="00443B40">
        <w:rPr>
          <w:rFonts w:ascii="Verdana" w:hAnsi="Verdana" w:cs="Arial"/>
          <w:color w:val="19161B"/>
          <w:sz w:val="22"/>
          <w:szCs w:val="22"/>
        </w:rPr>
        <w:t xml:space="preserve">d) an kriminellen Handlungen beteiligt ist. </w:t>
      </w:r>
    </w:p>
    <w:p w:rsidR="008D50DE" w:rsidRPr="00443B40" w:rsidRDefault="008D50DE" w:rsidP="007F4D6F">
      <w:pPr>
        <w:pStyle w:val="CM4"/>
        <w:spacing w:before="240" w:line="260" w:lineRule="exact"/>
        <w:jc w:val="both"/>
        <w:rPr>
          <w:rFonts w:ascii="Verdana" w:hAnsi="Verdana" w:cs="Arial"/>
          <w:color w:val="19161B"/>
          <w:sz w:val="22"/>
          <w:szCs w:val="22"/>
        </w:rPr>
      </w:pPr>
      <w:r w:rsidRPr="00443B40">
        <w:rPr>
          <w:rFonts w:ascii="Verdana" w:hAnsi="Verdana" w:cs="Arial"/>
          <w:color w:val="19161B"/>
          <w:sz w:val="22"/>
          <w:szCs w:val="22"/>
        </w:rPr>
        <w:t xml:space="preserve">Dieser Artikel gilt auch für jede Person, die Insiderinformationen unter anderen Umständen als nach Unterabsatz 1 besitzt und weiß oder wissen müsste, dass es sich dabei um Insiderinformationen handelt. </w:t>
      </w:r>
    </w:p>
    <w:p w:rsidR="008D50DE" w:rsidRPr="00443B40" w:rsidRDefault="008D50DE" w:rsidP="007F4D6F">
      <w:pPr>
        <w:pStyle w:val="CM4"/>
        <w:spacing w:before="240" w:line="260" w:lineRule="exact"/>
        <w:jc w:val="both"/>
        <w:rPr>
          <w:rFonts w:ascii="Verdana" w:hAnsi="Verdana" w:cs="Arial"/>
          <w:color w:val="19161B"/>
          <w:sz w:val="22"/>
          <w:szCs w:val="22"/>
        </w:rPr>
      </w:pPr>
      <w:r w:rsidRPr="00443B40">
        <w:rPr>
          <w:rFonts w:ascii="Verdana" w:hAnsi="Verdana" w:cs="Arial"/>
          <w:color w:val="19161B"/>
          <w:sz w:val="22"/>
          <w:szCs w:val="22"/>
        </w:rPr>
        <w:t xml:space="preserve">(5) Handelt es sich bei der in diesem Artikel genannten Person um eine juristische Person, so gilt dieser Artikel nach Maßgabe des nationalen Rechts auch für die natürlichen Personen, die an dem Beschluss, den Erwerb, die Veräußerung, die Stornierung oder Änderung eines Auftrags für Rechnung der betreffenden juristischen Person zu tätigen, beteiligt sind oder diesen beeinflussen. </w:t>
      </w:r>
    </w:p>
    <w:p w:rsidR="008D50DE" w:rsidRPr="00443B40" w:rsidRDefault="008D50DE" w:rsidP="007F4D6F">
      <w:pPr>
        <w:pStyle w:val="CM4"/>
        <w:keepNext/>
        <w:spacing w:before="240" w:line="260" w:lineRule="exact"/>
        <w:jc w:val="center"/>
        <w:rPr>
          <w:rFonts w:ascii="Verdana" w:hAnsi="Verdana" w:cs="Arial"/>
          <w:b/>
          <w:bCs/>
          <w:color w:val="19161B"/>
          <w:sz w:val="22"/>
          <w:szCs w:val="22"/>
        </w:rPr>
      </w:pPr>
      <w:r w:rsidRPr="00443B40">
        <w:rPr>
          <w:rFonts w:ascii="Verdana" w:hAnsi="Verdana" w:cs="Arial"/>
          <w:b/>
          <w:bCs/>
          <w:color w:val="19161B"/>
          <w:sz w:val="22"/>
          <w:szCs w:val="22"/>
        </w:rPr>
        <w:t>Artikel 10</w:t>
      </w:r>
    </w:p>
    <w:p w:rsidR="008D50DE" w:rsidRPr="00443B40" w:rsidRDefault="008D50DE" w:rsidP="007F4D6F">
      <w:pPr>
        <w:pStyle w:val="CM4"/>
        <w:keepNext/>
        <w:spacing w:before="240" w:line="260" w:lineRule="exact"/>
        <w:jc w:val="center"/>
        <w:rPr>
          <w:rFonts w:ascii="Verdana" w:hAnsi="Verdana" w:cs="Arial"/>
          <w:b/>
          <w:bCs/>
          <w:color w:val="19161B"/>
          <w:sz w:val="22"/>
          <w:szCs w:val="22"/>
        </w:rPr>
      </w:pPr>
      <w:r w:rsidRPr="00443B40">
        <w:rPr>
          <w:rFonts w:ascii="Verdana" w:hAnsi="Verdana" w:cs="Arial"/>
          <w:b/>
          <w:bCs/>
          <w:color w:val="19161B"/>
          <w:sz w:val="22"/>
          <w:szCs w:val="22"/>
        </w:rPr>
        <w:t>Unrechtmäßige Offenlegung von Insiderinformationen</w:t>
      </w:r>
    </w:p>
    <w:p w:rsidR="008D50DE" w:rsidRPr="00443B40" w:rsidRDefault="008D50DE" w:rsidP="007F4D6F">
      <w:pPr>
        <w:pStyle w:val="CM4"/>
        <w:keepNext/>
        <w:spacing w:before="240" w:line="260" w:lineRule="exact"/>
        <w:jc w:val="both"/>
        <w:rPr>
          <w:rFonts w:ascii="Verdana" w:hAnsi="Verdana" w:cs="Arial"/>
          <w:color w:val="19161B"/>
          <w:sz w:val="22"/>
          <w:szCs w:val="22"/>
        </w:rPr>
      </w:pPr>
      <w:r w:rsidRPr="00443B40">
        <w:rPr>
          <w:rFonts w:ascii="Verdana" w:hAnsi="Verdana" w:cs="Arial"/>
          <w:color w:val="19161B"/>
          <w:sz w:val="22"/>
          <w:szCs w:val="22"/>
        </w:rPr>
        <w:t xml:space="preserve">(1) Für die Zwecke dieser Verordnung liegt eine unrechtmäßige Offenlegung von Insiderinformationen vor, wenn eine Person, die über Insiderinformationen verfügt und diese Informationen gegenüber einer anderen Person offenlegt, es sei denn, die Offenlegung geschieht im Zuge der normalen Ausübung einer Beschäftigung oder eines Berufs oder der normalen Erfüllung von Aufgaben. </w:t>
      </w:r>
    </w:p>
    <w:p w:rsidR="008D50DE" w:rsidRPr="00443B40" w:rsidRDefault="008D50DE" w:rsidP="007F4D6F">
      <w:pPr>
        <w:pStyle w:val="CM4"/>
        <w:spacing w:before="240" w:line="260" w:lineRule="exact"/>
        <w:jc w:val="both"/>
        <w:rPr>
          <w:rFonts w:ascii="Verdana" w:hAnsi="Verdana" w:cs="Arial"/>
          <w:color w:val="19161B"/>
          <w:sz w:val="22"/>
          <w:szCs w:val="22"/>
        </w:rPr>
      </w:pPr>
      <w:r w:rsidRPr="00443B40">
        <w:rPr>
          <w:rFonts w:ascii="Verdana" w:hAnsi="Verdana" w:cs="Arial"/>
          <w:color w:val="19161B"/>
          <w:sz w:val="22"/>
          <w:szCs w:val="22"/>
        </w:rPr>
        <w:t xml:space="preserve">Dieser Absatz gilt für alle natürlichen oder juristischen Personen in den Situationen oder unter den Umständen gemäß Artikel 8 Absatz 4. </w:t>
      </w:r>
    </w:p>
    <w:p w:rsidR="00E80F16" w:rsidRPr="00443B40" w:rsidRDefault="008D50DE" w:rsidP="007F4D6F">
      <w:pPr>
        <w:pStyle w:val="doc-ti"/>
        <w:spacing w:before="240" w:beforeAutospacing="0" w:after="0" w:afterAutospacing="0" w:line="260" w:lineRule="exact"/>
        <w:jc w:val="both"/>
        <w:rPr>
          <w:rFonts w:ascii="Verdana" w:hAnsi="Verdana" w:cs="Arial"/>
          <w:sz w:val="22"/>
          <w:szCs w:val="22"/>
        </w:rPr>
      </w:pPr>
      <w:r w:rsidRPr="00443B40">
        <w:rPr>
          <w:rFonts w:ascii="Verdana" w:hAnsi="Verdana" w:cs="Arial"/>
          <w:color w:val="19161B"/>
          <w:sz w:val="22"/>
          <w:szCs w:val="22"/>
        </w:rPr>
        <w:t>(2) Für die Zwecke dieser Verordnung gilt die Weitergabe von Empfehlungen oder das Anstiften anderer, nachdem man selbst angestiftet wurde, gemäß Artikel 8 Absatz 2 als unrechtmäßige Offenlegung von Insiderinformationen gemäß diesem Artikel, wenn die Person, die die Empfehlung weitergibt oder andere anstiftet, nachdem sie selbst angestiftet wurde, weiß oder wissen sollte, dass die Empfehlung bzw. Anstiftung auf Insiderinformationen beruht.</w:t>
      </w:r>
    </w:p>
    <w:p w:rsidR="00B80CA9" w:rsidRPr="00443B40" w:rsidRDefault="00B80CA9" w:rsidP="007F4D6F">
      <w:pPr>
        <w:pStyle w:val="CM4"/>
        <w:keepNext/>
        <w:spacing w:before="240" w:line="260" w:lineRule="exact"/>
        <w:jc w:val="center"/>
        <w:rPr>
          <w:rFonts w:ascii="Verdana" w:hAnsi="Verdana" w:cs="Arial"/>
          <w:b/>
          <w:bCs/>
          <w:color w:val="19161B"/>
          <w:sz w:val="22"/>
          <w:szCs w:val="22"/>
        </w:rPr>
      </w:pPr>
      <w:r w:rsidRPr="00443B40">
        <w:rPr>
          <w:rFonts w:ascii="Verdana" w:hAnsi="Verdana" w:cs="Arial"/>
          <w:b/>
          <w:bCs/>
          <w:color w:val="19161B"/>
          <w:sz w:val="22"/>
          <w:szCs w:val="22"/>
        </w:rPr>
        <w:t>Artikel 14</w:t>
      </w:r>
    </w:p>
    <w:p w:rsidR="00B80CA9" w:rsidRPr="00443B40" w:rsidRDefault="00B80CA9" w:rsidP="007F4D6F">
      <w:pPr>
        <w:pStyle w:val="CM4"/>
        <w:keepNext/>
        <w:spacing w:before="240" w:line="260" w:lineRule="exact"/>
        <w:jc w:val="center"/>
        <w:rPr>
          <w:rFonts w:ascii="Verdana" w:hAnsi="Verdana" w:cs="Arial"/>
          <w:b/>
          <w:bCs/>
          <w:color w:val="19161B"/>
          <w:sz w:val="22"/>
          <w:szCs w:val="22"/>
        </w:rPr>
      </w:pPr>
      <w:r w:rsidRPr="00443B40">
        <w:rPr>
          <w:rFonts w:ascii="Verdana" w:hAnsi="Verdana" w:cs="Arial"/>
          <w:b/>
          <w:bCs/>
          <w:color w:val="19161B"/>
          <w:sz w:val="22"/>
          <w:szCs w:val="22"/>
        </w:rPr>
        <w:t>Verbot von Insidergeschäften und unrechtmäßiger Offenlegung von Insiderinformationen</w:t>
      </w:r>
    </w:p>
    <w:p w:rsidR="00B80CA9" w:rsidRPr="00443B40" w:rsidRDefault="00B80CA9" w:rsidP="007F4D6F">
      <w:pPr>
        <w:pStyle w:val="CM4"/>
        <w:keepNext/>
        <w:spacing w:before="240" w:line="260" w:lineRule="exact"/>
        <w:jc w:val="both"/>
        <w:rPr>
          <w:rFonts w:ascii="Verdana" w:hAnsi="Verdana" w:cs="Arial"/>
          <w:color w:val="19161B"/>
          <w:sz w:val="22"/>
          <w:szCs w:val="22"/>
        </w:rPr>
      </w:pPr>
      <w:r w:rsidRPr="00443B40">
        <w:rPr>
          <w:rFonts w:ascii="Verdana" w:hAnsi="Verdana" w:cs="Arial"/>
          <w:color w:val="19161B"/>
          <w:sz w:val="22"/>
          <w:szCs w:val="22"/>
        </w:rPr>
        <w:t xml:space="preserve">Folgende Handlungen sind verboten: </w:t>
      </w:r>
    </w:p>
    <w:p w:rsidR="00B80CA9" w:rsidRPr="00443B40" w:rsidRDefault="00B80CA9" w:rsidP="007F4D6F">
      <w:pPr>
        <w:pStyle w:val="CM4"/>
        <w:spacing w:before="240" w:line="260" w:lineRule="exact"/>
        <w:jc w:val="both"/>
        <w:rPr>
          <w:rFonts w:ascii="Verdana" w:hAnsi="Verdana" w:cs="Arial"/>
          <w:color w:val="19161B"/>
          <w:sz w:val="22"/>
          <w:szCs w:val="22"/>
        </w:rPr>
      </w:pPr>
      <w:r w:rsidRPr="00443B40">
        <w:rPr>
          <w:rFonts w:ascii="Verdana" w:hAnsi="Verdana" w:cs="Arial"/>
          <w:color w:val="19161B"/>
          <w:sz w:val="22"/>
          <w:szCs w:val="22"/>
        </w:rPr>
        <w:t xml:space="preserve">a) das Tätigen von Insidergeschäften und der Versuch hierzu, </w:t>
      </w:r>
    </w:p>
    <w:p w:rsidR="00512A36" w:rsidRPr="00443B40" w:rsidRDefault="00B80CA9" w:rsidP="007F4D6F">
      <w:pPr>
        <w:pStyle w:val="CM4"/>
        <w:spacing w:before="240" w:line="260" w:lineRule="exact"/>
        <w:jc w:val="both"/>
        <w:rPr>
          <w:rFonts w:ascii="Verdana" w:hAnsi="Verdana" w:cs="Arial"/>
          <w:color w:val="19161B"/>
          <w:sz w:val="22"/>
          <w:szCs w:val="22"/>
        </w:rPr>
      </w:pPr>
      <w:r w:rsidRPr="00443B40">
        <w:rPr>
          <w:rFonts w:ascii="Verdana" w:hAnsi="Verdana" w:cs="Arial"/>
          <w:color w:val="19161B"/>
          <w:sz w:val="22"/>
          <w:szCs w:val="22"/>
        </w:rPr>
        <w:lastRenderedPageBreak/>
        <w:t>b) Dritten zu empfehlen, Insidergeschäfte zu tätigen, oder Dritte anzustiften, Insidergeschäfte zu tätigen, oder</w:t>
      </w:r>
    </w:p>
    <w:p w:rsidR="00B80CA9" w:rsidRDefault="00B80CA9" w:rsidP="007F4D6F">
      <w:pPr>
        <w:pStyle w:val="CM4"/>
        <w:spacing w:before="240" w:line="260" w:lineRule="exact"/>
        <w:jc w:val="both"/>
        <w:rPr>
          <w:rFonts w:ascii="Verdana" w:hAnsi="Verdana" w:cs="Arial"/>
          <w:color w:val="19161B"/>
          <w:sz w:val="22"/>
          <w:szCs w:val="22"/>
        </w:rPr>
      </w:pPr>
      <w:r w:rsidRPr="00443B40">
        <w:rPr>
          <w:rFonts w:ascii="Verdana" w:hAnsi="Verdana" w:cs="Arial"/>
          <w:color w:val="19161B"/>
          <w:sz w:val="22"/>
          <w:szCs w:val="22"/>
        </w:rPr>
        <w:t>c) die unrechtmäßige Offenlegung von Insiderinformationen.</w:t>
      </w:r>
    </w:p>
    <w:p w:rsidR="00006E49" w:rsidRPr="00006E49" w:rsidRDefault="00006E49" w:rsidP="00006E49">
      <w:pPr>
        <w:rPr>
          <w:lang w:bidi="th-TH"/>
        </w:rPr>
      </w:pPr>
    </w:p>
    <w:p w:rsidR="00A93BAD" w:rsidRPr="00443B40" w:rsidRDefault="00A93BAD" w:rsidP="007F4D6F">
      <w:pPr>
        <w:keepNext/>
        <w:autoSpaceDE w:val="0"/>
        <w:autoSpaceDN w:val="0"/>
        <w:adjustRightInd w:val="0"/>
        <w:spacing w:before="240" w:line="260" w:lineRule="exact"/>
        <w:jc w:val="center"/>
        <w:rPr>
          <w:rFonts w:ascii="Verdana" w:hAnsi="Verdana" w:cs="Arial"/>
          <w:b/>
          <w:bCs/>
          <w:sz w:val="22"/>
          <w:szCs w:val="22"/>
        </w:rPr>
      </w:pPr>
      <w:r w:rsidRPr="00443B40">
        <w:rPr>
          <w:rFonts w:ascii="Verdana" w:hAnsi="Verdana" w:cs="Arial"/>
          <w:b/>
          <w:bCs/>
          <w:sz w:val="22"/>
          <w:szCs w:val="22"/>
        </w:rPr>
        <w:t>Wertpapierhandelsgesetz</w:t>
      </w:r>
      <w:r w:rsidR="00B2268F">
        <w:rPr>
          <w:rFonts w:ascii="Verdana" w:hAnsi="Verdana" w:cs="Arial"/>
          <w:b/>
          <w:bCs/>
          <w:sz w:val="22"/>
          <w:szCs w:val="22"/>
        </w:rPr>
        <w:t xml:space="preserve"> (WpHG)</w:t>
      </w:r>
      <w:r w:rsidRPr="00443B40">
        <w:rPr>
          <w:rFonts w:ascii="Verdana" w:hAnsi="Verdana" w:cs="Arial"/>
          <w:b/>
          <w:bCs/>
          <w:sz w:val="22"/>
          <w:szCs w:val="22"/>
        </w:rPr>
        <w:t xml:space="preserve"> </w:t>
      </w:r>
      <w:r w:rsidR="00F64BFE" w:rsidRPr="00443B40">
        <w:rPr>
          <w:rFonts w:ascii="Verdana" w:hAnsi="Verdana" w:cs="Arial"/>
          <w:b/>
          <w:bCs/>
          <w:sz w:val="22"/>
          <w:szCs w:val="22"/>
        </w:rPr>
        <w:br/>
      </w:r>
      <w:r w:rsidR="00AD33FA" w:rsidRPr="00443B40">
        <w:rPr>
          <w:rFonts w:ascii="Verdana" w:hAnsi="Verdana" w:cs="Arial"/>
          <w:b/>
          <w:bCs/>
          <w:sz w:val="22"/>
          <w:szCs w:val="22"/>
        </w:rPr>
        <w:t>(</w:t>
      </w:r>
      <w:r w:rsidR="002975F9" w:rsidRPr="00443B40">
        <w:rPr>
          <w:rFonts w:ascii="Verdana" w:hAnsi="Verdana" w:cs="Arial"/>
          <w:b/>
          <w:bCs/>
          <w:sz w:val="22"/>
          <w:szCs w:val="22"/>
        </w:rPr>
        <w:t>in der Fassung des</w:t>
      </w:r>
      <w:r w:rsidRPr="00443B40">
        <w:rPr>
          <w:rFonts w:ascii="Verdana" w:hAnsi="Verdana" w:cs="Arial"/>
          <w:b/>
          <w:bCs/>
          <w:sz w:val="22"/>
          <w:szCs w:val="22"/>
        </w:rPr>
        <w:t xml:space="preserve"> Ersten Gesetzes zur Novellierung von Finanzmarktvorschriften</w:t>
      </w:r>
      <w:r w:rsidR="002975F9" w:rsidRPr="00443B40">
        <w:rPr>
          <w:rFonts w:ascii="Verdana" w:hAnsi="Verdana" w:cs="Arial"/>
          <w:b/>
          <w:bCs/>
          <w:sz w:val="22"/>
          <w:szCs w:val="22"/>
          <w:lang w:bidi="th-TH"/>
        </w:rPr>
        <w:t xml:space="preserve"> </w:t>
      </w:r>
      <w:r w:rsidRPr="00443B40">
        <w:rPr>
          <w:rFonts w:ascii="Verdana" w:hAnsi="Verdana" w:cs="Arial"/>
          <w:b/>
          <w:bCs/>
          <w:sz w:val="22"/>
          <w:szCs w:val="22"/>
          <w:lang w:bidi="th-TH"/>
        </w:rPr>
        <w:t>auf Grund europäischer Rechtsakte</w:t>
      </w:r>
      <w:r w:rsidR="002975F9" w:rsidRPr="00443B40">
        <w:rPr>
          <w:rFonts w:ascii="Verdana" w:hAnsi="Verdana" w:cs="Arial"/>
          <w:b/>
          <w:bCs/>
          <w:sz w:val="22"/>
          <w:szCs w:val="22"/>
          <w:lang w:bidi="th-TH"/>
        </w:rPr>
        <w:t xml:space="preserve"> </w:t>
      </w:r>
      <w:r w:rsidRPr="00443B40">
        <w:rPr>
          <w:rFonts w:ascii="Verdana" w:hAnsi="Verdana" w:cs="Arial"/>
          <w:b/>
          <w:bCs/>
          <w:sz w:val="22"/>
          <w:szCs w:val="22"/>
          <w:lang w:bidi="th-TH"/>
        </w:rPr>
        <w:t>(Erstes Finanzmarktnovellierungsgesetz – 1. Fi</w:t>
      </w:r>
      <w:r w:rsidR="002975F9" w:rsidRPr="00443B40">
        <w:rPr>
          <w:rFonts w:ascii="Verdana" w:hAnsi="Verdana" w:cs="Arial"/>
          <w:b/>
          <w:bCs/>
          <w:sz w:val="22"/>
          <w:szCs w:val="22"/>
          <w:lang w:bidi="th-TH"/>
        </w:rPr>
        <w:t>MaNoG</w:t>
      </w:r>
      <w:r w:rsidRPr="00443B40">
        <w:rPr>
          <w:rFonts w:ascii="Verdana" w:hAnsi="Verdana" w:cs="Arial"/>
          <w:b/>
          <w:bCs/>
          <w:sz w:val="22"/>
          <w:szCs w:val="22"/>
          <w:lang w:bidi="th-TH"/>
        </w:rPr>
        <w:t>)</w:t>
      </w:r>
    </w:p>
    <w:p w:rsidR="00A93BAD" w:rsidRPr="00443B40" w:rsidRDefault="00A93BAD" w:rsidP="007F4D6F">
      <w:pPr>
        <w:autoSpaceDE w:val="0"/>
        <w:autoSpaceDN w:val="0"/>
        <w:adjustRightInd w:val="0"/>
        <w:spacing w:before="240" w:line="260" w:lineRule="exact"/>
        <w:jc w:val="center"/>
        <w:rPr>
          <w:rFonts w:ascii="Verdana" w:hAnsi="Verdana" w:cs="Arial"/>
          <w:b/>
          <w:bCs/>
          <w:sz w:val="22"/>
          <w:szCs w:val="22"/>
        </w:rPr>
      </w:pPr>
      <w:r w:rsidRPr="00443B40">
        <w:rPr>
          <w:rFonts w:ascii="Verdana" w:hAnsi="Verdana" w:cs="Arial"/>
          <w:b/>
          <w:bCs/>
          <w:sz w:val="22"/>
          <w:szCs w:val="22"/>
        </w:rPr>
        <w:t xml:space="preserve">§ 38 </w:t>
      </w:r>
      <w:r w:rsidRPr="00443B40">
        <w:rPr>
          <w:rFonts w:ascii="Verdana" w:hAnsi="Verdana" w:cs="Arial"/>
          <w:b/>
          <w:bCs/>
          <w:sz w:val="22"/>
          <w:szCs w:val="22"/>
        </w:rPr>
        <w:br/>
        <w:t>Strafvorschriften</w:t>
      </w:r>
    </w:p>
    <w:p w:rsidR="002975F9" w:rsidRPr="00443B40" w:rsidRDefault="002975F9" w:rsidP="007F4D6F">
      <w:pPr>
        <w:autoSpaceDE w:val="0"/>
        <w:autoSpaceDN w:val="0"/>
        <w:adjustRightInd w:val="0"/>
        <w:spacing w:before="240" w:line="260" w:lineRule="exact"/>
        <w:jc w:val="both"/>
        <w:rPr>
          <w:rFonts w:ascii="Verdana" w:hAnsi="Verdana" w:cs="Arial"/>
          <w:sz w:val="22"/>
          <w:szCs w:val="22"/>
        </w:rPr>
      </w:pPr>
      <w:r w:rsidRPr="00443B40">
        <w:rPr>
          <w:rFonts w:ascii="Verdana" w:hAnsi="Verdana" w:cs="Arial"/>
          <w:sz w:val="22"/>
          <w:szCs w:val="22"/>
        </w:rPr>
        <w:t>(1) Mit Freiheitsstrafe bis zu fünf Jahren oder mit Geldstrafe wird bestraft, wer</w:t>
      </w:r>
    </w:p>
    <w:p w:rsidR="00A93BAD" w:rsidRPr="00443B40" w:rsidRDefault="00AF3C5B" w:rsidP="007F4D6F">
      <w:pPr>
        <w:autoSpaceDE w:val="0"/>
        <w:autoSpaceDN w:val="0"/>
        <w:adjustRightInd w:val="0"/>
        <w:spacing w:before="240" w:line="260" w:lineRule="exact"/>
        <w:jc w:val="both"/>
        <w:rPr>
          <w:rFonts w:ascii="Verdana" w:hAnsi="Verdana" w:cs="Arial"/>
          <w:sz w:val="22"/>
          <w:szCs w:val="22"/>
        </w:rPr>
      </w:pPr>
      <w:r w:rsidRPr="00443B40">
        <w:rPr>
          <w:rFonts w:ascii="Verdana" w:hAnsi="Verdana" w:cs="Arial"/>
          <w:sz w:val="22"/>
          <w:szCs w:val="22"/>
        </w:rPr>
        <w:t>(</w:t>
      </w:r>
      <w:r w:rsidR="00A93BAD" w:rsidRPr="00443B40">
        <w:rPr>
          <w:rFonts w:ascii="Verdana" w:hAnsi="Verdana" w:cs="Arial"/>
          <w:sz w:val="22"/>
          <w:szCs w:val="22"/>
        </w:rPr>
        <w:t>…</w:t>
      </w:r>
      <w:r w:rsidRPr="00443B40">
        <w:rPr>
          <w:rFonts w:ascii="Verdana" w:hAnsi="Verdana" w:cs="Arial"/>
          <w:sz w:val="22"/>
          <w:szCs w:val="22"/>
        </w:rPr>
        <w:t>)</w:t>
      </w:r>
    </w:p>
    <w:p w:rsidR="00A93BAD" w:rsidRPr="00443B40" w:rsidRDefault="00A93BAD" w:rsidP="007F4D6F">
      <w:pPr>
        <w:autoSpaceDE w:val="0"/>
        <w:autoSpaceDN w:val="0"/>
        <w:adjustRightInd w:val="0"/>
        <w:spacing w:before="240" w:line="260" w:lineRule="exact"/>
        <w:jc w:val="both"/>
        <w:rPr>
          <w:rFonts w:ascii="Verdana" w:hAnsi="Verdana" w:cs="Arial"/>
          <w:sz w:val="22"/>
          <w:szCs w:val="22"/>
          <w:lang w:bidi="th-TH"/>
        </w:rPr>
      </w:pPr>
      <w:r w:rsidRPr="00443B40">
        <w:rPr>
          <w:rFonts w:ascii="Verdana" w:hAnsi="Verdana" w:cs="Arial"/>
          <w:sz w:val="22"/>
          <w:szCs w:val="22"/>
          <w:lang w:bidi="th-TH"/>
        </w:rPr>
        <w:t>(3) Ebenso wird bestraft, wer gegen die Verordnung (EU) Nr. 596/2014 des Europäischen</w:t>
      </w:r>
      <w:r w:rsidR="003F4266" w:rsidRPr="00443B40">
        <w:rPr>
          <w:rFonts w:ascii="Verdana" w:hAnsi="Verdana" w:cs="Arial"/>
          <w:sz w:val="22"/>
          <w:szCs w:val="22"/>
          <w:lang w:bidi="th-TH"/>
        </w:rPr>
        <w:t xml:space="preserve"> </w:t>
      </w:r>
      <w:r w:rsidRPr="00443B40">
        <w:rPr>
          <w:rFonts w:ascii="Verdana" w:hAnsi="Verdana" w:cs="Arial"/>
          <w:sz w:val="22"/>
          <w:szCs w:val="22"/>
          <w:lang w:bidi="th-TH"/>
        </w:rPr>
        <w:t>Parlaments und des Rates vom 16. April 2014 über Marktmissbrauch</w:t>
      </w:r>
      <w:r w:rsidR="003F4266" w:rsidRPr="00443B40">
        <w:rPr>
          <w:rFonts w:ascii="Verdana" w:hAnsi="Verdana" w:cs="Arial"/>
          <w:sz w:val="22"/>
          <w:szCs w:val="22"/>
          <w:lang w:bidi="th-TH"/>
        </w:rPr>
        <w:t xml:space="preserve"> </w:t>
      </w:r>
      <w:r w:rsidRPr="00443B40">
        <w:rPr>
          <w:rFonts w:ascii="Verdana" w:hAnsi="Verdana" w:cs="Arial"/>
          <w:sz w:val="22"/>
          <w:szCs w:val="22"/>
          <w:lang w:bidi="th-TH"/>
        </w:rPr>
        <w:t>(Marktmissbrauchsverordnung) und zur Aufhebung der Richtlinie 2003/6/EG des Europäischen</w:t>
      </w:r>
      <w:r w:rsidR="003F4266" w:rsidRPr="00443B40">
        <w:rPr>
          <w:rFonts w:ascii="Verdana" w:hAnsi="Verdana" w:cs="Arial"/>
          <w:sz w:val="22"/>
          <w:szCs w:val="22"/>
          <w:lang w:bidi="th-TH"/>
        </w:rPr>
        <w:t xml:space="preserve"> </w:t>
      </w:r>
      <w:r w:rsidRPr="00443B40">
        <w:rPr>
          <w:rFonts w:ascii="Verdana" w:hAnsi="Verdana" w:cs="Arial"/>
          <w:sz w:val="22"/>
          <w:szCs w:val="22"/>
          <w:lang w:bidi="th-TH"/>
        </w:rPr>
        <w:t>Parlaments und des Rates und der Richtlinien 2003/124/EG,</w:t>
      </w:r>
      <w:r w:rsidR="003F4266" w:rsidRPr="00443B40">
        <w:rPr>
          <w:rFonts w:ascii="Verdana" w:hAnsi="Verdana" w:cs="Arial"/>
          <w:sz w:val="22"/>
          <w:szCs w:val="22"/>
          <w:lang w:bidi="th-TH"/>
        </w:rPr>
        <w:t xml:space="preserve"> </w:t>
      </w:r>
      <w:r w:rsidRPr="00443B40">
        <w:rPr>
          <w:rFonts w:ascii="Verdana" w:hAnsi="Verdana" w:cs="Arial"/>
          <w:sz w:val="22"/>
          <w:szCs w:val="22"/>
          <w:lang w:bidi="th-TH"/>
        </w:rPr>
        <w:t>2003/125/EG und 2004/72/EG der Kommission (ABl. L 173 vom 12.6.2014, S. 1)</w:t>
      </w:r>
      <w:r w:rsidR="003F4266" w:rsidRPr="00443B40">
        <w:rPr>
          <w:rFonts w:ascii="Verdana" w:hAnsi="Verdana" w:cs="Arial"/>
          <w:sz w:val="22"/>
          <w:szCs w:val="22"/>
          <w:lang w:bidi="th-TH"/>
        </w:rPr>
        <w:t xml:space="preserve"> </w:t>
      </w:r>
      <w:r w:rsidRPr="00443B40">
        <w:rPr>
          <w:rFonts w:ascii="Verdana" w:hAnsi="Verdana" w:cs="Arial"/>
          <w:sz w:val="22"/>
          <w:szCs w:val="22"/>
          <w:lang w:bidi="th-TH"/>
        </w:rPr>
        <w:t>verstößt, indem er</w:t>
      </w:r>
    </w:p>
    <w:p w:rsidR="00A93BAD" w:rsidRPr="00443B40" w:rsidRDefault="00A93BAD" w:rsidP="007F4D6F">
      <w:pPr>
        <w:autoSpaceDE w:val="0"/>
        <w:autoSpaceDN w:val="0"/>
        <w:adjustRightInd w:val="0"/>
        <w:spacing w:before="240" w:line="260" w:lineRule="exact"/>
        <w:jc w:val="both"/>
        <w:rPr>
          <w:rFonts w:ascii="Verdana" w:hAnsi="Verdana" w:cs="Arial"/>
          <w:sz w:val="22"/>
          <w:szCs w:val="22"/>
          <w:lang w:bidi="th-TH"/>
        </w:rPr>
      </w:pPr>
      <w:r w:rsidRPr="00443B40">
        <w:rPr>
          <w:rFonts w:ascii="Verdana" w:hAnsi="Verdana" w:cs="Arial"/>
          <w:sz w:val="22"/>
          <w:szCs w:val="22"/>
          <w:lang w:bidi="th-TH"/>
        </w:rPr>
        <w:t>1. entgegen Artikel 14 Buchstabe a ein Insidergeschäft tätigt,</w:t>
      </w:r>
    </w:p>
    <w:p w:rsidR="00A93BAD" w:rsidRPr="00443B40" w:rsidRDefault="00A93BAD" w:rsidP="007F4D6F">
      <w:pPr>
        <w:autoSpaceDE w:val="0"/>
        <w:autoSpaceDN w:val="0"/>
        <w:adjustRightInd w:val="0"/>
        <w:spacing w:before="240" w:line="260" w:lineRule="exact"/>
        <w:jc w:val="both"/>
        <w:rPr>
          <w:rFonts w:ascii="Verdana" w:hAnsi="Verdana" w:cs="Arial"/>
          <w:sz w:val="22"/>
          <w:szCs w:val="22"/>
          <w:lang w:bidi="th-TH"/>
        </w:rPr>
      </w:pPr>
      <w:r w:rsidRPr="00443B40">
        <w:rPr>
          <w:rFonts w:ascii="Verdana" w:hAnsi="Verdana" w:cs="Arial"/>
          <w:sz w:val="22"/>
          <w:szCs w:val="22"/>
          <w:lang w:bidi="th-TH"/>
        </w:rPr>
        <w:t>2. entgegen Artikel 14 Buchstabe b einem Dritten empfiehlt, ein Insidergeschäft zu</w:t>
      </w:r>
      <w:r w:rsidR="003F4266" w:rsidRPr="00443B40">
        <w:rPr>
          <w:rFonts w:ascii="Verdana" w:hAnsi="Verdana" w:cs="Arial"/>
          <w:sz w:val="22"/>
          <w:szCs w:val="22"/>
          <w:lang w:bidi="th-TH"/>
        </w:rPr>
        <w:t xml:space="preserve"> </w:t>
      </w:r>
      <w:r w:rsidRPr="00443B40">
        <w:rPr>
          <w:rFonts w:ascii="Verdana" w:hAnsi="Verdana" w:cs="Arial"/>
          <w:sz w:val="22"/>
          <w:szCs w:val="22"/>
          <w:lang w:bidi="th-TH"/>
        </w:rPr>
        <w:t>tätigen, oder einen Dritten dazu anstiftet oder</w:t>
      </w:r>
    </w:p>
    <w:p w:rsidR="00A93BAD" w:rsidRPr="00443B40" w:rsidRDefault="00A93BAD" w:rsidP="007F4D6F">
      <w:pPr>
        <w:autoSpaceDE w:val="0"/>
        <w:autoSpaceDN w:val="0"/>
        <w:adjustRightInd w:val="0"/>
        <w:spacing w:before="240" w:line="260" w:lineRule="exact"/>
        <w:jc w:val="both"/>
        <w:rPr>
          <w:rFonts w:ascii="Verdana" w:hAnsi="Verdana" w:cs="Arial"/>
          <w:sz w:val="22"/>
          <w:szCs w:val="22"/>
          <w:lang w:bidi="th-TH"/>
        </w:rPr>
      </w:pPr>
      <w:r w:rsidRPr="00443B40">
        <w:rPr>
          <w:rFonts w:ascii="Verdana" w:hAnsi="Verdana" w:cs="Arial"/>
          <w:sz w:val="22"/>
          <w:szCs w:val="22"/>
          <w:lang w:bidi="th-TH"/>
        </w:rPr>
        <w:t>3. entgegen Artikel 14 Buchstabe c eine Insiderinformation offenlegt.</w:t>
      </w:r>
    </w:p>
    <w:p w:rsidR="00A93BAD" w:rsidRPr="00443B40" w:rsidRDefault="00A93BAD" w:rsidP="007F4D6F">
      <w:pPr>
        <w:autoSpaceDE w:val="0"/>
        <w:autoSpaceDN w:val="0"/>
        <w:adjustRightInd w:val="0"/>
        <w:spacing w:before="240" w:line="260" w:lineRule="exact"/>
        <w:jc w:val="both"/>
        <w:rPr>
          <w:rFonts w:ascii="Verdana" w:hAnsi="Verdana" w:cs="Arial"/>
          <w:sz w:val="22"/>
          <w:szCs w:val="22"/>
          <w:lang w:bidi="th-TH"/>
        </w:rPr>
      </w:pPr>
      <w:r w:rsidRPr="00443B40">
        <w:rPr>
          <w:rFonts w:ascii="Verdana" w:hAnsi="Verdana" w:cs="Arial"/>
          <w:sz w:val="22"/>
          <w:szCs w:val="22"/>
          <w:lang w:bidi="th-TH"/>
        </w:rPr>
        <w:t>(4) In den Fällen des Absatzes 1 Nummer 2</w:t>
      </w:r>
      <w:r w:rsidR="009F2EE7" w:rsidRPr="00443B40">
        <w:rPr>
          <w:rFonts w:ascii="Verdana" w:hAnsi="Verdana" w:cs="Arial"/>
          <w:sz w:val="22"/>
          <w:szCs w:val="22"/>
          <w:lang w:bidi="th-TH"/>
        </w:rPr>
        <w:t xml:space="preserve"> und 3</w:t>
      </w:r>
      <w:r w:rsidRPr="00443B40">
        <w:rPr>
          <w:rFonts w:ascii="Verdana" w:hAnsi="Verdana" w:cs="Arial"/>
          <w:sz w:val="22"/>
          <w:szCs w:val="22"/>
          <w:lang w:bidi="th-TH"/>
        </w:rPr>
        <w:t xml:space="preserve"> sowie der Absätze 2 und 3 ist</w:t>
      </w:r>
      <w:r w:rsidR="003F4266" w:rsidRPr="00443B40">
        <w:rPr>
          <w:rFonts w:ascii="Verdana" w:hAnsi="Verdana" w:cs="Arial"/>
          <w:sz w:val="22"/>
          <w:szCs w:val="22"/>
          <w:lang w:bidi="th-TH"/>
        </w:rPr>
        <w:t xml:space="preserve"> </w:t>
      </w:r>
      <w:r w:rsidRPr="00443B40">
        <w:rPr>
          <w:rFonts w:ascii="Verdana" w:hAnsi="Verdana" w:cs="Arial"/>
          <w:sz w:val="22"/>
          <w:szCs w:val="22"/>
          <w:lang w:bidi="th-TH"/>
        </w:rPr>
        <w:t>der Versuch strafbar.</w:t>
      </w:r>
    </w:p>
    <w:p w:rsidR="00A93BAD" w:rsidRPr="00443B40" w:rsidRDefault="00B43476" w:rsidP="007F4D6F">
      <w:pPr>
        <w:autoSpaceDE w:val="0"/>
        <w:autoSpaceDN w:val="0"/>
        <w:adjustRightInd w:val="0"/>
        <w:spacing w:before="240" w:line="260" w:lineRule="exact"/>
        <w:jc w:val="both"/>
        <w:rPr>
          <w:rFonts w:ascii="Verdana" w:hAnsi="Verdana" w:cs="Arial"/>
          <w:sz w:val="22"/>
          <w:szCs w:val="22"/>
          <w:lang w:bidi="th-TH"/>
        </w:rPr>
      </w:pPr>
      <w:r w:rsidRPr="00443B40">
        <w:rPr>
          <w:rFonts w:ascii="Verdana" w:hAnsi="Verdana" w:cs="Arial"/>
          <w:sz w:val="22"/>
          <w:szCs w:val="22"/>
          <w:lang w:bidi="th-TH"/>
        </w:rPr>
        <w:t>(</w:t>
      </w:r>
      <w:r w:rsidR="00A93BAD" w:rsidRPr="00443B40">
        <w:rPr>
          <w:rFonts w:ascii="Verdana" w:hAnsi="Verdana" w:cs="Arial"/>
          <w:sz w:val="22"/>
          <w:szCs w:val="22"/>
          <w:lang w:bidi="th-TH"/>
        </w:rPr>
        <w:t>…</w:t>
      </w:r>
      <w:r w:rsidRPr="00443B40">
        <w:rPr>
          <w:rFonts w:ascii="Verdana" w:hAnsi="Verdana" w:cs="Arial"/>
          <w:sz w:val="22"/>
          <w:szCs w:val="22"/>
          <w:lang w:bidi="th-TH"/>
        </w:rPr>
        <w:t>)</w:t>
      </w:r>
    </w:p>
    <w:p w:rsidR="002975F9" w:rsidRPr="00443B40" w:rsidRDefault="002975F9" w:rsidP="007F4D6F">
      <w:pPr>
        <w:autoSpaceDE w:val="0"/>
        <w:autoSpaceDN w:val="0"/>
        <w:adjustRightInd w:val="0"/>
        <w:spacing w:before="240" w:line="260" w:lineRule="exact"/>
        <w:jc w:val="center"/>
        <w:rPr>
          <w:rFonts w:ascii="Verdana" w:hAnsi="Verdana" w:cs="Arial"/>
          <w:b/>
          <w:bCs/>
          <w:sz w:val="22"/>
          <w:szCs w:val="22"/>
        </w:rPr>
      </w:pPr>
      <w:r w:rsidRPr="00443B40">
        <w:rPr>
          <w:rFonts w:ascii="Verdana" w:hAnsi="Verdana" w:cs="Arial"/>
          <w:b/>
          <w:bCs/>
          <w:sz w:val="22"/>
          <w:szCs w:val="22"/>
        </w:rPr>
        <w:t xml:space="preserve">§ 39 </w:t>
      </w:r>
      <w:r w:rsidRPr="00443B40">
        <w:rPr>
          <w:rFonts w:ascii="Verdana" w:hAnsi="Verdana" w:cs="Arial"/>
          <w:b/>
          <w:bCs/>
          <w:sz w:val="22"/>
          <w:szCs w:val="22"/>
        </w:rPr>
        <w:br/>
        <w:t>Bußgeldvorschriften</w:t>
      </w:r>
    </w:p>
    <w:p w:rsidR="004D3CF7" w:rsidRPr="00443B40" w:rsidRDefault="002975F9" w:rsidP="007F4D6F">
      <w:pPr>
        <w:autoSpaceDE w:val="0"/>
        <w:autoSpaceDN w:val="0"/>
        <w:adjustRightInd w:val="0"/>
        <w:spacing w:before="240" w:line="260" w:lineRule="exact"/>
        <w:jc w:val="both"/>
        <w:rPr>
          <w:rFonts w:ascii="Verdana" w:hAnsi="Verdana" w:cs="Arial"/>
          <w:sz w:val="22"/>
          <w:szCs w:val="22"/>
        </w:rPr>
      </w:pPr>
      <w:r w:rsidRPr="00443B40">
        <w:rPr>
          <w:rFonts w:ascii="Verdana" w:hAnsi="Verdana" w:cs="Arial"/>
          <w:sz w:val="22"/>
          <w:szCs w:val="22"/>
        </w:rPr>
        <w:t>(</w:t>
      </w:r>
      <w:r w:rsidR="004D3CF7" w:rsidRPr="00443B40">
        <w:rPr>
          <w:rFonts w:ascii="Verdana" w:hAnsi="Verdana" w:cs="Arial"/>
          <w:sz w:val="22"/>
          <w:szCs w:val="22"/>
        </w:rPr>
        <w:t>…</w:t>
      </w:r>
      <w:r w:rsidRPr="00443B40">
        <w:rPr>
          <w:rFonts w:ascii="Verdana" w:hAnsi="Verdana" w:cs="Arial"/>
          <w:sz w:val="22"/>
          <w:szCs w:val="22"/>
        </w:rPr>
        <w:t>)</w:t>
      </w:r>
    </w:p>
    <w:p w:rsidR="000A1305" w:rsidRPr="00443B40" w:rsidRDefault="000A1305" w:rsidP="007F4D6F">
      <w:pPr>
        <w:autoSpaceDE w:val="0"/>
        <w:autoSpaceDN w:val="0"/>
        <w:adjustRightInd w:val="0"/>
        <w:spacing w:before="240" w:line="260" w:lineRule="exact"/>
        <w:jc w:val="both"/>
        <w:rPr>
          <w:rFonts w:ascii="Verdana" w:hAnsi="Verdana" w:cs="Arial"/>
          <w:sz w:val="22"/>
          <w:szCs w:val="22"/>
        </w:rPr>
      </w:pPr>
      <w:r w:rsidRPr="00443B40">
        <w:rPr>
          <w:rFonts w:ascii="Verdana" w:hAnsi="Verdana" w:cs="Arial"/>
          <w:sz w:val="22"/>
          <w:szCs w:val="22"/>
        </w:rPr>
        <w:t>(3b) Ordnungswidrig handelt, wer eine in § 38 Absatz 3 Nummer 1 bis 3 bezeichnete Handlung leichtfertig begeht.</w:t>
      </w:r>
    </w:p>
    <w:p w:rsidR="004700DE" w:rsidRPr="00443B40" w:rsidRDefault="004700DE" w:rsidP="007F4D6F">
      <w:pPr>
        <w:autoSpaceDE w:val="0"/>
        <w:autoSpaceDN w:val="0"/>
        <w:adjustRightInd w:val="0"/>
        <w:spacing w:before="240" w:line="260" w:lineRule="exact"/>
        <w:jc w:val="both"/>
        <w:rPr>
          <w:rFonts w:ascii="Verdana" w:hAnsi="Verdana" w:cs="Arial"/>
          <w:sz w:val="22"/>
          <w:szCs w:val="22"/>
        </w:rPr>
      </w:pPr>
      <w:r w:rsidRPr="00443B40">
        <w:rPr>
          <w:rFonts w:ascii="Verdana" w:hAnsi="Verdana" w:cs="Arial"/>
          <w:sz w:val="22"/>
          <w:szCs w:val="22"/>
        </w:rPr>
        <w:t>(…)</w:t>
      </w:r>
    </w:p>
    <w:p w:rsidR="000A1305" w:rsidRPr="00443B40" w:rsidRDefault="000A1305" w:rsidP="007F4D6F">
      <w:pPr>
        <w:autoSpaceDE w:val="0"/>
        <w:autoSpaceDN w:val="0"/>
        <w:adjustRightInd w:val="0"/>
        <w:spacing w:before="240" w:line="260" w:lineRule="exact"/>
        <w:jc w:val="both"/>
        <w:rPr>
          <w:rFonts w:ascii="Verdana" w:hAnsi="Verdana" w:cs="Arial"/>
          <w:sz w:val="22"/>
          <w:szCs w:val="22"/>
        </w:rPr>
      </w:pPr>
      <w:r w:rsidRPr="00443B40">
        <w:rPr>
          <w:rFonts w:ascii="Verdana" w:hAnsi="Verdana" w:cs="Arial"/>
          <w:sz w:val="22"/>
          <w:szCs w:val="22"/>
        </w:rPr>
        <w:t xml:space="preserve">(4a) Die Ordnungswidrigkeit kann in den Fällen der Absätze 3b </w:t>
      </w:r>
      <w:r w:rsidR="001F67CA" w:rsidRPr="00443B40">
        <w:rPr>
          <w:rFonts w:ascii="Verdana" w:hAnsi="Verdana" w:cs="Arial"/>
          <w:sz w:val="22"/>
          <w:szCs w:val="22"/>
        </w:rPr>
        <w:t>(…)</w:t>
      </w:r>
      <w:r w:rsidRPr="00443B40">
        <w:rPr>
          <w:rFonts w:ascii="Verdana" w:hAnsi="Verdana" w:cs="Arial"/>
          <w:sz w:val="22"/>
          <w:szCs w:val="22"/>
        </w:rPr>
        <w:t xml:space="preserve">mit einer Geldbuße bis zu fünf Millionen Euro, </w:t>
      </w:r>
      <w:r w:rsidR="001F67CA" w:rsidRPr="00443B40">
        <w:rPr>
          <w:rFonts w:ascii="Verdana" w:hAnsi="Verdana" w:cs="Arial"/>
          <w:sz w:val="22"/>
          <w:szCs w:val="22"/>
        </w:rPr>
        <w:t>(…)</w:t>
      </w:r>
      <w:r w:rsidRPr="00443B40">
        <w:rPr>
          <w:rFonts w:ascii="Verdana" w:hAnsi="Verdana" w:cs="Arial"/>
          <w:sz w:val="22"/>
          <w:szCs w:val="22"/>
        </w:rPr>
        <w:t xml:space="preserve"> Gegenüber einer juristischen Person oder Personenvereinigung kann über Satz 1 hinaus eine höhere Geldbuße verhängt werden; diese darf</w:t>
      </w:r>
    </w:p>
    <w:p w:rsidR="000A1305" w:rsidRPr="00443B40" w:rsidRDefault="000A1305" w:rsidP="007F4D6F">
      <w:pPr>
        <w:autoSpaceDE w:val="0"/>
        <w:autoSpaceDN w:val="0"/>
        <w:adjustRightInd w:val="0"/>
        <w:spacing w:before="240" w:line="260" w:lineRule="exact"/>
        <w:jc w:val="both"/>
        <w:rPr>
          <w:rFonts w:ascii="Verdana" w:hAnsi="Verdana" w:cs="Arial"/>
          <w:sz w:val="22"/>
          <w:szCs w:val="22"/>
        </w:rPr>
      </w:pPr>
      <w:r w:rsidRPr="00443B40">
        <w:rPr>
          <w:rFonts w:ascii="Verdana" w:hAnsi="Verdana" w:cs="Arial"/>
          <w:sz w:val="22"/>
          <w:szCs w:val="22"/>
        </w:rPr>
        <w:lastRenderedPageBreak/>
        <w:t xml:space="preserve">1. </w:t>
      </w:r>
      <w:r w:rsidR="00CE73F8" w:rsidRPr="00443B40">
        <w:rPr>
          <w:rFonts w:ascii="Verdana" w:hAnsi="Verdana" w:cs="Arial"/>
          <w:sz w:val="22"/>
          <w:szCs w:val="22"/>
        </w:rPr>
        <w:t xml:space="preserve">in den Fällen der Absätze 3b </w:t>
      </w:r>
      <w:r w:rsidR="001F67CA" w:rsidRPr="00443B40">
        <w:rPr>
          <w:rFonts w:ascii="Verdana" w:hAnsi="Verdana" w:cs="Arial"/>
          <w:sz w:val="22"/>
          <w:szCs w:val="22"/>
        </w:rPr>
        <w:t>(…)</w:t>
      </w:r>
      <w:r w:rsidR="00CE73F8" w:rsidRPr="00443B40">
        <w:rPr>
          <w:rFonts w:ascii="Verdana" w:hAnsi="Verdana" w:cs="Arial"/>
          <w:sz w:val="22"/>
          <w:szCs w:val="22"/>
        </w:rPr>
        <w:t xml:space="preserve"> den höheren der Beträge von fünfzehn Millionen Euro und 15 Prozent des Gesamtumsatzes, den die juristische Person oder Personenvereinigung im der Behördenentscheidung vorausgegangenen Geschäftsjahr erzielt hat,</w:t>
      </w:r>
    </w:p>
    <w:p w:rsidR="000A1305" w:rsidRPr="00443B40" w:rsidRDefault="00CE73F8" w:rsidP="007F4D6F">
      <w:pPr>
        <w:autoSpaceDE w:val="0"/>
        <w:autoSpaceDN w:val="0"/>
        <w:adjustRightInd w:val="0"/>
        <w:spacing w:before="240" w:line="260" w:lineRule="exact"/>
        <w:jc w:val="both"/>
        <w:rPr>
          <w:rFonts w:ascii="Verdana" w:hAnsi="Verdana" w:cs="Arial"/>
          <w:sz w:val="22"/>
          <w:szCs w:val="22"/>
        </w:rPr>
      </w:pPr>
      <w:r w:rsidRPr="00443B40">
        <w:rPr>
          <w:rFonts w:ascii="Verdana" w:hAnsi="Verdana" w:cs="Arial"/>
          <w:sz w:val="22"/>
          <w:szCs w:val="22"/>
        </w:rPr>
        <w:t>2. (…)</w:t>
      </w:r>
    </w:p>
    <w:p w:rsidR="00CE73F8" w:rsidRPr="00443B40" w:rsidRDefault="00CE73F8" w:rsidP="007F4D6F">
      <w:pPr>
        <w:autoSpaceDE w:val="0"/>
        <w:autoSpaceDN w:val="0"/>
        <w:adjustRightInd w:val="0"/>
        <w:spacing w:before="240" w:line="260" w:lineRule="exact"/>
        <w:jc w:val="both"/>
        <w:rPr>
          <w:rFonts w:ascii="Verdana" w:hAnsi="Verdana" w:cs="Arial"/>
          <w:sz w:val="22"/>
          <w:szCs w:val="22"/>
        </w:rPr>
      </w:pPr>
      <w:r w:rsidRPr="00443B40">
        <w:rPr>
          <w:rFonts w:ascii="Verdana" w:hAnsi="Verdana" w:cs="Arial"/>
          <w:sz w:val="22"/>
          <w:szCs w:val="22"/>
        </w:rPr>
        <w:t>nicht überschreiten. Über die in den Sätzen 1 und 2 genannten Beträge hinaus kann die Ordnungswidrigkeit mit einer Geldbuße bis zum Dreifachen des aus dem Verstoß gezogenen wirtschaftlichen Vorteils geahndet werden. Der wirtschaftliche Vorteil umfasst erzielte Gewinne und vermiedene Verluste und kann geschätzt werden.</w:t>
      </w:r>
    </w:p>
    <w:p w:rsidR="00724B9A" w:rsidRPr="00443B40" w:rsidRDefault="00724B9A" w:rsidP="007F4D6F">
      <w:pPr>
        <w:keepNext/>
        <w:autoSpaceDE w:val="0"/>
        <w:autoSpaceDN w:val="0"/>
        <w:adjustRightInd w:val="0"/>
        <w:spacing w:before="240" w:line="260" w:lineRule="exact"/>
        <w:jc w:val="center"/>
        <w:rPr>
          <w:rFonts w:ascii="Verdana" w:hAnsi="Verdana" w:cs="Arial"/>
          <w:b/>
          <w:bCs/>
          <w:sz w:val="22"/>
          <w:szCs w:val="22"/>
          <w:lang w:bidi="th-TH"/>
        </w:rPr>
      </w:pPr>
      <w:r w:rsidRPr="00443B40">
        <w:rPr>
          <w:rFonts w:ascii="Verdana" w:hAnsi="Verdana" w:cs="Arial"/>
          <w:b/>
          <w:bCs/>
          <w:sz w:val="22"/>
          <w:szCs w:val="22"/>
          <w:lang w:bidi="th-TH"/>
        </w:rPr>
        <w:t>§ 40d</w:t>
      </w:r>
    </w:p>
    <w:p w:rsidR="00724B9A" w:rsidRPr="00443B40" w:rsidRDefault="00724B9A" w:rsidP="00FA4072">
      <w:pPr>
        <w:keepNext/>
        <w:autoSpaceDE w:val="0"/>
        <w:autoSpaceDN w:val="0"/>
        <w:adjustRightInd w:val="0"/>
        <w:spacing w:before="240" w:line="260" w:lineRule="exact"/>
        <w:jc w:val="center"/>
        <w:rPr>
          <w:rFonts w:ascii="Verdana" w:hAnsi="Verdana" w:cs="Arial"/>
          <w:b/>
          <w:bCs/>
          <w:sz w:val="22"/>
          <w:szCs w:val="22"/>
          <w:lang w:bidi="th-TH"/>
        </w:rPr>
      </w:pPr>
      <w:r w:rsidRPr="00443B40">
        <w:rPr>
          <w:rFonts w:ascii="Verdana" w:hAnsi="Verdana" w:cs="Arial"/>
          <w:b/>
          <w:bCs/>
          <w:sz w:val="22"/>
          <w:szCs w:val="22"/>
          <w:lang w:bidi="th-TH"/>
        </w:rPr>
        <w:t>Bekanntmachung von Maßnahmen und Sanktionen wegen Verstößen gegen die Verordnung</w:t>
      </w:r>
      <w:r w:rsidR="00FA4072" w:rsidRPr="00443B40">
        <w:rPr>
          <w:rFonts w:ascii="Verdana" w:hAnsi="Verdana" w:cs="Arial"/>
          <w:b/>
          <w:bCs/>
          <w:sz w:val="22"/>
          <w:szCs w:val="22"/>
          <w:lang w:bidi="th-TH"/>
        </w:rPr>
        <w:br/>
      </w:r>
      <w:r w:rsidRPr="00443B40">
        <w:rPr>
          <w:rFonts w:ascii="Verdana" w:hAnsi="Verdana" w:cs="Arial"/>
          <w:b/>
          <w:bCs/>
          <w:sz w:val="22"/>
          <w:szCs w:val="22"/>
          <w:lang w:bidi="th-TH"/>
        </w:rPr>
        <w:t>(EU) Nr. 596/2014</w:t>
      </w:r>
    </w:p>
    <w:p w:rsidR="00724B9A" w:rsidRPr="00443B40" w:rsidRDefault="00724B9A" w:rsidP="007F4D6F">
      <w:pPr>
        <w:autoSpaceDE w:val="0"/>
        <w:autoSpaceDN w:val="0"/>
        <w:adjustRightInd w:val="0"/>
        <w:spacing w:before="240" w:line="260" w:lineRule="exact"/>
        <w:jc w:val="both"/>
        <w:rPr>
          <w:rFonts w:ascii="Verdana" w:hAnsi="Verdana" w:cs="Arial"/>
          <w:sz w:val="22"/>
          <w:szCs w:val="22"/>
          <w:lang w:bidi="th-TH"/>
        </w:rPr>
      </w:pPr>
      <w:r w:rsidRPr="00443B40">
        <w:rPr>
          <w:rFonts w:ascii="Verdana" w:hAnsi="Verdana" w:cs="Arial"/>
          <w:sz w:val="22"/>
          <w:szCs w:val="22"/>
          <w:lang w:bidi="th-TH"/>
        </w:rPr>
        <w:t>(1) Die Bundesanstalt macht Entscheidungen über Maßnahmen und Sanktionen,</w:t>
      </w:r>
      <w:r w:rsidR="00A32214" w:rsidRPr="00443B40">
        <w:rPr>
          <w:rFonts w:ascii="Verdana" w:hAnsi="Verdana" w:cs="Arial"/>
          <w:sz w:val="22"/>
          <w:szCs w:val="22"/>
          <w:lang w:bidi="th-TH"/>
        </w:rPr>
        <w:t xml:space="preserve"> </w:t>
      </w:r>
      <w:r w:rsidRPr="00443B40">
        <w:rPr>
          <w:rFonts w:ascii="Verdana" w:hAnsi="Verdana" w:cs="Arial"/>
          <w:sz w:val="22"/>
          <w:szCs w:val="22"/>
          <w:lang w:bidi="th-TH"/>
        </w:rPr>
        <w:t>die wegen Verstößen nach Artikel 14, 15, 16 Absatz 1 und 2, Artikel 17 Absatz</w:t>
      </w:r>
      <w:r w:rsidR="00A32214" w:rsidRPr="00443B40">
        <w:rPr>
          <w:rFonts w:ascii="Verdana" w:hAnsi="Verdana" w:cs="Arial"/>
          <w:sz w:val="22"/>
          <w:szCs w:val="22"/>
          <w:lang w:bidi="th-TH"/>
        </w:rPr>
        <w:t xml:space="preserve"> </w:t>
      </w:r>
      <w:r w:rsidRPr="00443B40">
        <w:rPr>
          <w:rFonts w:ascii="Verdana" w:hAnsi="Verdana" w:cs="Arial"/>
          <w:sz w:val="22"/>
          <w:szCs w:val="22"/>
          <w:lang w:bidi="th-TH"/>
        </w:rPr>
        <w:t>1, 2, 4, 5 und 8, Artikel 18 Absatz 1 bis 6, Artikel 19 Absatz 1, 2, 3, 5, 6, 7 und 11 und</w:t>
      </w:r>
      <w:r w:rsidR="00A32214" w:rsidRPr="00443B40">
        <w:rPr>
          <w:rFonts w:ascii="Verdana" w:hAnsi="Verdana" w:cs="Arial"/>
          <w:sz w:val="22"/>
          <w:szCs w:val="22"/>
          <w:lang w:bidi="th-TH"/>
        </w:rPr>
        <w:t xml:space="preserve"> </w:t>
      </w:r>
      <w:r w:rsidRPr="00443B40">
        <w:rPr>
          <w:rFonts w:ascii="Verdana" w:hAnsi="Verdana" w:cs="Arial"/>
          <w:sz w:val="22"/>
          <w:szCs w:val="22"/>
          <w:lang w:bidi="th-TH"/>
        </w:rPr>
        <w:t>Artikel 20 Absatz 1 der Verordnung (EU) Nr. 596/2014 erlassen wurden, unverzüglich</w:t>
      </w:r>
      <w:r w:rsidR="00A32214" w:rsidRPr="00443B40">
        <w:rPr>
          <w:rFonts w:ascii="Verdana" w:hAnsi="Verdana" w:cs="Arial"/>
          <w:sz w:val="22"/>
          <w:szCs w:val="22"/>
          <w:lang w:bidi="th-TH"/>
        </w:rPr>
        <w:t xml:space="preserve"> </w:t>
      </w:r>
      <w:r w:rsidRPr="00443B40">
        <w:rPr>
          <w:rFonts w:ascii="Verdana" w:hAnsi="Verdana" w:cs="Arial"/>
          <w:sz w:val="22"/>
          <w:szCs w:val="22"/>
          <w:lang w:bidi="th-TH"/>
        </w:rPr>
        <w:t>nach Unterrichtung der natürlichen oder juristischen Person, gegen die die Maßnahme</w:t>
      </w:r>
      <w:r w:rsidR="00A32214" w:rsidRPr="00443B40">
        <w:rPr>
          <w:rFonts w:ascii="Verdana" w:hAnsi="Verdana" w:cs="Arial"/>
          <w:sz w:val="22"/>
          <w:szCs w:val="22"/>
          <w:lang w:bidi="th-TH"/>
        </w:rPr>
        <w:t xml:space="preserve"> </w:t>
      </w:r>
      <w:r w:rsidRPr="00443B40">
        <w:rPr>
          <w:rFonts w:ascii="Verdana" w:hAnsi="Verdana" w:cs="Arial"/>
          <w:sz w:val="22"/>
          <w:szCs w:val="22"/>
          <w:lang w:bidi="th-TH"/>
        </w:rPr>
        <w:t>oder Sanktion verhängt wurde, auf ihrer Internetseite bekannt. Dies gilt nicht für</w:t>
      </w:r>
      <w:r w:rsidR="00A32214" w:rsidRPr="00443B40">
        <w:rPr>
          <w:rFonts w:ascii="Verdana" w:hAnsi="Verdana" w:cs="Arial"/>
          <w:sz w:val="22"/>
          <w:szCs w:val="22"/>
          <w:lang w:bidi="th-TH"/>
        </w:rPr>
        <w:t xml:space="preserve"> </w:t>
      </w:r>
      <w:r w:rsidRPr="00443B40">
        <w:rPr>
          <w:rFonts w:ascii="Verdana" w:hAnsi="Verdana" w:cs="Arial"/>
          <w:sz w:val="22"/>
          <w:szCs w:val="22"/>
          <w:lang w:bidi="th-TH"/>
        </w:rPr>
        <w:t>Entscheidungen über Ermittlungsmaßnahmen.</w:t>
      </w:r>
    </w:p>
    <w:p w:rsidR="00724B9A" w:rsidRPr="00443B40" w:rsidRDefault="00724B9A" w:rsidP="007F4D6F">
      <w:pPr>
        <w:autoSpaceDE w:val="0"/>
        <w:autoSpaceDN w:val="0"/>
        <w:adjustRightInd w:val="0"/>
        <w:spacing w:before="240" w:line="260" w:lineRule="exact"/>
        <w:jc w:val="both"/>
        <w:rPr>
          <w:rFonts w:ascii="Verdana" w:hAnsi="Verdana" w:cs="Arial"/>
          <w:sz w:val="22"/>
          <w:szCs w:val="22"/>
          <w:lang w:bidi="th-TH"/>
        </w:rPr>
      </w:pPr>
      <w:r w:rsidRPr="00443B40">
        <w:rPr>
          <w:rFonts w:ascii="Verdana" w:hAnsi="Verdana" w:cs="Arial"/>
          <w:sz w:val="22"/>
          <w:szCs w:val="22"/>
          <w:lang w:bidi="th-TH"/>
        </w:rPr>
        <w:t>(2) In der Bekanntmachung benennt die Bundesanstalt die Vorschrift, gegen die</w:t>
      </w:r>
      <w:r w:rsidR="00A32214" w:rsidRPr="00443B40">
        <w:rPr>
          <w:rFonts w:ascii="Verdana" w:hAnsi="Verdana" w:cs="Arial"/>
          <w:sz w:val="22"/>
          <w:szCs w:val="22"/>
          <w:lang w:bidi="th-TH"/>
        </w:rPr>
        <w:t xml:space="preserve"> </w:t>
      </w:r>
      <w:r w:rsidRPr="00443B40">
        <w:rPr>
          <w:rFonts w:ascii="Verdana" w:hAnsi="Verdana" w:cs="Arial"/>
          <w:sz w:val="22"/>
          <w:szCs w:val="22"/>
          <w:lang w:bidi="th-TH"/>
        </w:rPr>
        <w:t>verstoßen wurde, und die für den Verstoß verantwortliche natürliche oder juristische</w:t>
      </w:r>
      <w:r w:rsidR="00A32214" w:rsidRPr="00443B40">
        <w:rPr>
          <w:rFonts w:ascii="Verdana" w:hAnsi="Verdana" w:cs="Arial"/>
          <w:sz w:val="22"/>
          <w:szCs w:val="22"/>
          <w:lang w:bidi="th-TH"/>
        </w:rPr>
        <w:t xml:space="preserve"> </w:t>
      </w:r>
      <w:r w:rsidRPr="00443B40">
        <w:rPr>
          <w:rFonts w:ascii="Verdana" w:hAnsi="Verdana" w:cs="Arial"/>
          <w:sz w:val="22"/>
          <w:szCs w:val="22"/>
          <w:lang w:bidi="th-TH"/>
        </w:rPr>
        <w:t>Person oder Personenvereinigung.</w:t>
      </w:r>
    </w:p>
    <w:p w:rsidR="00724B9A" w:rsidRPr="00443B40" w:rsidRDefault="00724B9A" w:rsidP="007F4D6F">
      <w:pPr>
        <w:autoSpaceDE w:val="0"/>
        <w:autoSpaceDN w:val="0"/>
        <w:adjustRightInd w:val="0"/>
        <w:spacing w:before="240" w:line="260" w:lineRule="exact"/>
        <w:jc w:val="both"/>
        <w:rPr>
          <w:rFonts w:ascii="Verdana" w:hAnsi="Verdana" w:cs="Arial"/>
          <w:sz w:val="22"/>
          <w:szCs w:val="22"/>
          <w:lang w:bidi="th-TH"/>
        </w:rPr>
      </w:pPr>
      <w:r w:rsidRPr="00443B40">
        <w:rPr>
          <w:rFonts w:ascii="Verdana" w:hAnsi="Verdana" w:cs="Arial"/>
          <w:sz w:val="22"/>
          <w:szCs w:val="22"/>
          <w:lang w:bidi="th-TH"/>
        </w:rPr>
        <w:t>(3) Ist die Bekanntmachung der Identität einer von der Entscheidung betroffenen</w:t>
      </w:r>
      <w:r w:rsidR="00A32214" w:rsidRPr="00443B40">
        <w:rPr>
          <w:rFonts w:ascii="Verdana" w:hAnsi="Verdana" w:cs="Arial"/>
          <w:sz w:val="22"/>
          <w:szCs w:val="22"/>
          <w:lang w:bidi="th-TH"/>
        </w:rPr>
        <w:t xml:space="preserve"> </w:t>
      </w:r>
      <w:r w:rsidRPr="00443B40">
        <w:rPr>
          <w:rFonts w:ascii="Verdana" w:hAnsi="Verdana" w:cs="Arial"/>
          <w:sz w:val="22"/>
          <w:szCs w:val="22"/>
          <w:lang w:bidi="th-TH"/>
        </w:rPr>
        <w:t>juristischen Person oder der personenbezogenen Daten einer natürlichen Person unverhältnismäßig</w:t>
      </w:r>
      <w:r w:rsidR="00A32214" w:rsidRPr="00443B40">
        <w:rPr>
          <w:rFonts w:ascii="Verdana" w:hAnsi="Verdana" w:cs="Arial"/>
          <w:sz w:val="22"/>
          <w:szCs w:val="22"/>
          <w:lang w:bidi="th-TH"/>
        </w:rPr>
        <w:t xml:space="preserve"> </w:t>
      </w:r>
      <w:r w:rsidRPr="00443B40">
        <w:rPr>
          <w:rFonts w:ascii="Verdana" w:hAnsi="Verdana" w:cs="Arial"/>
          <w:sz w:val="22"/>
          <w:szCs w:val="22"/>
          <w:lang w:bidi="th-TH"/>
        </w:rPr>
        <w:t>oder würde die Bekanntmachung laufende Ermittlungen oder die</w:t>
      </w:r>
      <w:r w:rsidR="00A32214" w:rsidRPr="00443B40">
        <w:rPr>
          <w:rFonts w:ascii="Verdana" w:hAnsi="Verdana" w:cs="Arial"/>
          <w:sz w:val="22"/>
          <w:szCs w:val="22"/>
          <w:lang w:bidi="th-TH"/>
        </w:rPr>
        <w:t xml:space="preserve"> </w:t>
      </w:r>
      <w:r w:rsidRPr="00443B40">
        <w:rPr>
          <w:rFonts w:ascii="Verdana" w:hAnsi="Verdana" w:cs="Arial"/>
          <w:sz w:val="22"/>
          <w:szCs w:val="22"/>
          <w:lang w:bidi="th-TH"/>
        </w:rPr>
        <w:t>Stabilität der Finanzmärkte gefährden, so</w:t>
      </w:r>
    </w:p>
    <w:p w:rsidR="00724B9A" w:rsidRPr="00443B40" w:rsidRDefault="00724B9A" w:rsidP="007F4D6F">
      <w:pPr>
        <w:autoSpaceDE w:val="0"/>
        <w:autoSpaceDN w:val="0"/>
        <w:adjustRightInd w:val="0"/>
        <w:spacing w:before="240" w:line="260" w:lineRule="exact"/>
        <w:jc w:val="both"/>
        <w:rPr>
          <w:rFonts w:ascii="Verdana" w:hAnsi="Verdana" w:cs="Arial"/>
          <w:sz w:val="22"/>
          <w:szCs w:val="22"/>
          <w:lang w:bidi="th-TH"/>
        </w:rPr>
      </w:pPr>
      <w:r w:rsidRPr="00443B40">
        <w:rPr>
          <w:rFonts w:ascii="Verdana" w:hAnsi="Verdana" w:cs="Arial"/>
          <w:sz w:val="22"/>
          <w:szCs w:val="22"/>
          <w:lang w:bidi="th-TH"/>
        </w:rPr>
        <w:t>1. schiebt die Bundesanstalt die Bekanntmachung der Entscheidung auf, bis die</w:t>
      </w:r>
      <w:r w:rsidR="00A32214" w:rsidRPr="00443B40">
        <w:rPr>
          <w:rFonts w:ascii="Verdana" w:hAnsi="Verdana" w:cs="Arial"/>
          <w:sz w:val="22"/>
          <w:szCs w:val="22"/>
          <w:lang w:bidi="th-TH"/>
        </w:rPr>
        <w:t xml:space="preserve"> </w:t>
      </w:r>
      <w:r w:rsidRPr="00443B40">
        <w:rPr>
          <w:rFonts w:ascii="Verdana" w:hAnsi="Verdana" w:cs="Arial"/>
          <w:sz w:val="22"/>
          <w:szCs w:val="22"/>
          <w:lang w:bidi="th-TH"/>
        </w:rPr>
        <w:t>Gründe für das Aufschieben weggefallen sind,</w:t>
      </w:r>
    </w:p>
    <w:p w:rsidR="00724B9A" w:rsidRPr="00443B40" w:rsidRDefault="00724B9A" w:rsidP="007F4D6F">
      <w:pPr>
        <w:autoSpaceDE w:val="0"/>
        <w:autoSpaceDN w:val="0"/>
        <w:adjustRightInd w:val="0"/>
        <w:spacing w:before="240" w:line="260" w:lineRule="exact"/>
        <w:jc w:val="both"/>
        <w:rPr>
          <w:rFonts w:ascii="Verdana" w:hAnsi="Verdana" w:cs="Arial"/>
          <w:sz w:val="22"/>
          <w:szCs w:val="22"/>
          <w:lang w:bidi="th-TH"/>
        </w:rPr>
      </w:pPr>
      <w:r w:rsidRPr="00443B40">
        <w:rPr>
          <w:rFonts w:ascii="Verdana" w:hAnsi="Verdana" w:cs="Arial"/>
          <w:sz w:val="22"/>
          <w:szCs w:val="22"/>
          <w:lang w:bidi="th-TH"/>
        </w:rPr>
        <w:t xml:space="preserve">2. macht die </w:t>
      </w:r>
      <w:r w:rsidR="00D4134C" w:rsidRPr="00443B40">
        <w:rPr>
          <w:rFonts w:ascii="Verdana" w:hAnsi="Verdana" w:cs="Arial"/>
          <w:sz w:val="22"/>
          <w:szCs w:val="22"/>
          <w:lang w:bidi="th-TH"/>
        </w:rPr>
        <w:t xml:space="preserve">Bundesanstalt die </w:t>
      </w:r>
      <w:r w:rsidRPr="00443B40">
        <w:rPr>
          <w:rFonts w:ascii="Verdana" w:hAnsi="Verdana" w:cs="Arial"/>
          <w:sz w:val="22"/>
          <w:szCs w:val="22"/>
          <w:lang w:bidi="th-TH"/>
        </w:rPr>
        <w:t>Entscheidung ohne Nennung der Identität oder der personenbezogenen</w:t>
      </w:r>
      <w:r w:rsidR="00A32214" w:rsidRPr="00443B40">
        <w:rPr>
          <w:rFonts w:ascii="Verdana" w:hAnsi="Verdana" w:cs="Arial"/>
          <w:sz w:val="22"/>
          <w:szCs w:val="22"/>
          <w:lang w:bidi="th-TH"/>
        </w:rPr>
        <w:t xml:space="preserve"> </w:t>
      </w:r>
      <w:r w:rsidRPr="00443B40">
        <w:rPr>
          <w:rFonts w:ascii="Verdana" w:hAnsi="Verdana" w:cs="Arial"/>
          <w:sz w:val="22"/>
          <w:szCs w:val="22"/>
          <w:lang w:bidi="th-TH"/>
        </w:rPr>
        <w:t>Daten bekannt, wenn hierdurch ein wirksamer Schutz der Identität oder der</w:t>
      </w:r>
      <w:r w:rsidR="00A32214" w:rsidRPr="00443B40">
        <w:rPr>
          <w:rFonts w:ascii="Verdana" w:hAnsi="Verdana" w:cs="Arial"/>
          <w:sz w:val="22"/>
          <w:szCs w:val="22"/>
          <w:lang w:bidi="th-TH"/>
        </w:rPr>
        <w:t xml:space="preserve"> </w:t>
      </w:r>
      <w:r w:rsidRPr="00443B40">
        <w:rPr>
          <w:rFonts w:ascii="Verdana" w:hAnsi="Verdana" w:cs="Arial"/>
          <w:sz w:val="22"/>
          <w:szCs w:val="22"/>
          <w:lang w:bidi="th-TH"/>
        </w:rPr>
        <w:t>betreffenden personenbezogenen Daten gewährleistet ist oder</w:t>
      </w:r>
    </w:p>
    <w:p w:rsidR="00724B9A" w:rsidRPr="00443B40" w:rsidRDefault="00724B9A" w:rsidP="007F4D6F">
      <w:pPr>
        <w:autoSpaceDE w:val="0"/>
        <w:autoSpaceDN w:val="0"/>
        <w:adjustRightInd w:val="0"/>
        <w:spacing w:before="240" w:line="260" w:lineRule="exact"/>
        <w:jc w:val="both"/>
        <w:rPr>
          <w:rFonts w:ascii="Verdana" w:hAnsi="Verdana" w:cs="Arial"/>
          <w:sz w:val="22"/>
          <w:szCs w:val="22"/>
          <w:lang w:bidi="th-TH"/>
        </w:rPr>
      </w:pPr>
      <w:r w:rsidRPr="00443B40">
        <w:rPr>
          <w:rFonts w:ascii="Verdana" w:hAnsi="Verdana" w:cs="Arial"/>
          <w:sz w:val="22"/>
          <w:szCs w:val="22"/>
          <w:lang w:bidi="th-TH"/>
        </w:rPr>
        <w:t xml:space="preserve">3. macht die </w:t>
      </w:r>
      <w:r w:rsidR="002975F9" w:rsidRPr="00443B40">
        <w:rPr>
          <w:rFonts w:ascii="Verdana" w:hAnsi="Verdana" w:cs="Arial"/>
          <w:sz w:val="22"/>
          <w:szCs w:val="22"/>
          <w:lang w:bidi="th-TH"/>
        </w:rPr>
        <w:t xml:space="preserve">Bundesanstalt die </w:t>
      </w:r>
      <w:r w:rsidRPr="00443B40">
        <w:rPr>
          <w:rFonts w:ascii="Verdana" w:hAnsi="Verdana" w:cs="Arial"/>
          <w:sz w:val="22"/>
          <w:szCs w:val="22"/>
          <w:lang w:bidi="th-TH"/>
        </w:rPr>
        <w:t>Entscheidung nicht bekannt, wenn eine Bekanntmachung gemäß den</w:t>
      </w:r>
      <w:r w:rsidR="00A32214" w:rsidRPr="00443B40">
        <w:rPr>
          <w:rFonts w:ascii="Verdana" w:hAnsi="Verdana" w:cs="Arial"/>
          <w:sz w:val="22"/>
          <w:szCs w:val="22"/>
          <w:lang w:bidi="th-TH"/>
        </w:rPr>
        <w:t xml:space="preserve"> </w:t>
      </w:r>
      <w:r w:rsidRPr="00443B40">
        <w:rPr>
          <w:rFonts w:ascii="Verdana" w:hAnsi="Verdana" w:cs="Arial"/>
          <w:sz w:val="22"/>
          <w:szCs w:val="22"/>
          <w:lang w:bidi="th-TH"/>
        </w:rPr>
        <w:t>Nummern 1 und 2 nicht ausreichend wäre, um sicherzustellen, dass</w:t>
      </w:r>
    </w:p>
    <w:p w:rsidR="00724B9A" w:rsidRPr="00443B40" w:rsidRDefault="00724B9A" w:rsidP="007F4D6F">
      <w:pPr>
        <w:autoSpaceDE w:val="0"/>
        <w:autoSpaceDN w:val="0"/>
        <w:adjustRightInd w:val="0"/>
        <w:spacing w:before="240" w:line="260" w:lineRule="exact"/>
        <w:jc w:val="both"/>
        <w:rPr>
          <w:rFonts w:ascii="Verdana" w:hAnsi="Verdana" w:cs="Arial"/>
          <w:sz w:val="22"/>
          <w:szCs w:val="22"/>
          <w:lang w:bidi="th-TH"/>
        </w:rPr>
      </w:pPr>
      <w:r w:rsidRPr="00443B40">
        <w:rPr>
          <w:rFonts w:ascii="Verdana" w:hAnsi="Verdana" w:cs="Arial"/>
          <w:sz w:val="22"/>
          <w:szCs w:val="22"/>
          <w:lang w:bidi="th-TH"/>
        </w:rPr>
        <w:t>a) die Stabilität der Finanzmärkte nicht gefährdet wird oder</w:t>
      </w:r>
    </w:p>
    <w:p w:rsidR="00724B9A" w:rsidRPr="00443B40" w:rsidRDefault="00724B9A" w:rsidP="007F4D6F">
      <w:pPr>
        <w:autoSpaceDE w:val="0"/>
        <w:autoSpaceDN w:val="0"/>
        <w:adjustRightInd w:val="0"/>
        <w:spacing w:before="240" w:line="260" w:lineRule="exact"/>
        <w:jc w:val="both"/>
        <w:rPr>
          <w:rFonts w:ascii="Verdana" w:hAnsi="Verdana" w:cs="Arial"/>
          <w:sz w:val="22"/>
          <w:szCs w:val="22"/>
          <w:lang w:bidi="th-TH"/>
        </w:rPr>
      </w:pPr>
      <w:r w:rsidRPr="00443B40">
        <w:rPr>
          <w:rFonts w:ascii="Verdana" w:hAnsi="Verdana" w:cs="Arial"/>
          <w:sz w:val="22"/>
          <w:szCs w:val="22"/>
          <w:lang w:bidi="th-TH"/>
        </w:rPr>
        <w:t>b) die Verhältnismäßigkeit der Bekanntmachung gewahrt bleibt.</w:t>
      </w:r>
    </w:p>
    <w:p w:rsidR="00724B9A" w:rsidRPr="00443B40" w:rsidRDefault="00724B9A" w:rsidP="007F4D6F">
      <w:pPr>
        <w:autoSpaceDE w:val="0"/>
        <w:autoSpaceDN w:val="0"/>
        <w:adjustRightInd w:val="0"/>
        <w:spacing w:before="240" w:line="260" w:lineRule="exact"/>
        <w:jc w:val="both"/>
        <w:rPr>
          <w:rFonts w:ascii="Verdana" w:hAnsi="Verdana" w:cs="Arial"/>
          <w:sz w:val="22"/>
          <w:szCs w:val="22"/>
          <w:lang w:bidi="th-TH"/>
        </w:rPr>
      </w:pPr>
      <w:r w:rsidRPr="00443B40">
        <w:rPr>
          <w:rFonts w:ascii="Verdana" w:hAnsi="Verdana" w:cs="Arial"/>
          <w:sz w:val="22"/>
          <w:szCs w:val="22"/>
          <w:lang w:bidi="th-TH"/>
        </w:rPr>
        <w:lastRenderedPageBreak/>
        <w:t>Im Falle des Satzes 1 Nummer 2 kann die Bundesanstalt die Bekanntmachung der</w:t>
      </w:r>
      <w:r w:rsidR="00A32214" w:rsidRPr="00443B40">
        <w:rPr>
          <w:rFonts w:ascii="Verdana" w:hAnsi="Verdana" w:cs="Arial"/>
          <w:sz w:val="22"/>
          <w:szCs w:val="22"/>
          <w:lang w:bidi="th-TH"/>
        </w:rPr>
        <w:t xml:space="preserve"> </w:t>
      </w:r>
      <w:r w:rsidRPr="00443B40">
        <w:rPr>
          <w:rFonts w:ascii="Verdana" w:hAnsi="Verdana" w:cs="Arial"/>
          <w:sz w:val="22"/>
          <w:szCs w:val="22"/>
          <w:lang w:bidi="th-TH"/>
        </w:rPr>
        <w:t>Identität oder der personenbezogenen Daten nachholen, wenn die Gründe für die</w:t>
      </w:r>
      <w:r w:rsidR="00A32214" w:rsidRPr="00443B40">
        <w:rPr>
          <w:rFonts w:ascii="Verdana" w:hAnsi="Verdana" w:cs="Arial"/>
          <w:sz w:val="22"/>
          <w:szCs w:val="22"/>
          <w:lang w:bidi="th-TH"/>
        </w:rPr>
        <w:t xml:space="preserve"> </w:t>
      </w:r>
      <w:r w:rsidRPr="00443B40">
        <w:rPr>
          <w:rFonts w:ascii="Verdana" w:hAnsi="Verdana" w:cs="Arial"/>
          <w:sz w:val="22"/>
          <w:szCs w:val="22"/>
          <w:lang w:bidi="th-TH"/>
        </w:rPr>
        <w:t>anonymisierte Bekanntmachung entfallen sind.</w:t>
      </w:r>
    </w:p>
    <w:p w:rsidR="00724B9A" w:rsidRPr="00443B40" w:rsidRDefault="00724B9A" w:rsidP="007F4D6F">
      <w:pPr>
        <w:autoSpaceDE w:val="0"/>
        <w:autoSpaceDN w:val="0"/>
        <w:adjustRightInd w:val="0"/>
        <w:spacing w:before="240" w:line="260" w:lineRule="exact"/>
        <w:jc w:val="both"/>
        <w:rPr>
          <w:rFonts w:ascii="Verdana" w:hAnsi="Verdana" w:cs="Arial"/>
          <w:sz w:val="22"/>
          <w:szCs w:val="22"/>
          <w:lang w:bidi="th-TH"/>
        </w:rPr>
      </w:pPr>
      <w:r w:rsidRPr="00443B40">
        <w:rPr>
          <w:rFonts w:ascii="Verdana" w:hAnsi="Verdana" w:cs="Arial"/>
          <w:sz w:val="22"/>
          <w:szCs w:val="22"/>
          <w:lang w:bidi="th-TH"/>
        </w:rPr>
        <w:t>(4) Bei nicht bestands- oder nicht rechtskräftigen Entscheidungen fügt die</w:t>
      </w:r>
      <w:r w:rsidR="00A32214" w:rsidRPr="00443B40">
        <w:rPr>
          <w:rFonts w:ascii="Verdana" w:hAnsi="Verdana" w:cs="Arial"/>
          <w:sz w:val="22"/>
          <w:szCs w:val="22"/>
          <w:lang w:bidi="th-TH"/>
        </w:rPr>
        <w:t xml:space="preserve"> </w:t>
      </w:r>
      <w:r w:rsidRPr="00443B40">
        <w:rPr>
          <w:rFonts w:ascii="Verdana" w:hAnsi="Verdana" w:cs="Arial"/>
          <w:sz w:val="22"/>
          <w:szCs w:val="22"/>
          <w:lang w:bidi="th-TH"/>
        </w:rPr>
        <w:t>Bundesanstalt</w:t>
      </w:r>
      <w:r w:rsidR="00A32214" w:rsidRPr="00443B40">
        <w:rPr>
          <w:rFonts w:ascii="Verdana" w:hAnsi="Verdana" w:cs="Arial"/>
          <w:sz w:val="22"/>
          <w:szCs w:val="22"/>
          <w:lang w:bidi="th-TH"/>
        </w:rPr>
        <w:t xml:space="preserve"> </w:t>
      </w:r>
      <w:r w:rsidRPr="00443B40">
        <w:rPr>
          <w:rFonts w:ascii="Verdana" w:hAnsi="Verdana" w:cs="Arial"/>
          <w:sz w:val="22"/>
          <w:szCs w:val="22"/>
          <w:lang w:bidi="th-TH"/>
        </w:rPr>
        <w:t>einen entsprechenden Hinweis hinzu. Wird gegen die</w:t>
      </w:r>
      <w:r w:rsidR="00A32214" w:rsidRPr="00443B40">
        <w:rPr>
          <w:rFonts w:ascii="Verdana" w:hAnsi="Verdana" w:cs="Arial"/>
          <w:sz w:val="22"/>
          <w:szCs w:val="22"/>
          <w:lang w:bidi="th-TH"/>
        </w:rPr>
        <w:t xml:space="preserve"> </w:t>
      </w:r>
      <w:r w:rsidRPr="00443B40">
        <w:rPr>
          <w:rFonts w:ascii="Verdana" w:hAnsi="Verdana" w:cs="Arial"/>
          <w:sz w:val="22"/>
          <w:szCs w:val="22"/>
          <w:lang w:bidi="th-TH"/>
        </w:rPr>
        <w:t>bekanntzumachende</w:t>
      </w:r>
      <w:r w:rsidR="00A32214" w:rsidRPr="00443B40">
        <w:rPr>
          <w:rFonts w:ascii="Verdana" w:hAnsi="Verdana" w:cs="Arial"/>
          <w:sz w:val="22"/>
          <w:szCs w:val="22"/>
          <w:lang w:bidi="th-TH"/>
        </w:rPr>
        <w:t xml:space="preserve"> </w:t>
      </w:r>
      <w:r w:rsidRPr="00443B40">
        <w:rPr>
          <w:rFonts w:ascii="Verdana" w:hAnsi="Verdana" w:cs="Arial"/>
          <w:sz w:val="22"/>
          <w:szCs w:val="22"/>
          <w:lang w:bidi="th-TH"/>
        </w:rPr>
        <w:t>Entscheidung ein Rechtsbehelf eingelegt, so ergänzt die Bundesanstalt die Bekanntmachung</w:t>
      </w:r>
      <w:r w:rsidR="00A32214" w:rsidRPr="00443B40">
        <w:rPr>
          <w:rFonts w:ascii="Verdana" w:hAnsi="Verdana" w:cs="Arial"/>
          <w:sz w:val="22"/>
          <w:szCs w:val="22"/>
          <w:lang w:bidi="th-TH"/>
        </w:rPr>
        <w:t xml:space="preserve"> </w:t>
      </w:r>
      <w:r w:rsidRPr="00443B40">
        <w:rPr>
          <w:rFonts w:ascii="Verdana" w:hAnsi="Verdana" w:cs="Arial"/>
          <w:sz w:val="22"/>
          <w:szCs w:val="22"/>
          <w:lang w:bidi="th-TH"/>
        </w:rPr>
        <w:t>unverzüglich um einen Hinweis auf den Rechtsbehelf sowie um alle</w:t>
      </w:r>
      <w:r w:rsidR="00A32214" w:rsidRPr="00443B40">
        <w:rPr>
          <w:rFonts w:ascii="Verdana" w:hAnsi="Verdana" w:cs="Arial"/>
          <w:sz w:val="22"/>
          <w:szCs w:val="22"/>
          <w:lang w:bidi="th-TH"/>
        </w:rPr>
        <w:t xml:space="preserve"> </w:t>
      </w:r>
      <w:r w:rsidRPr="00443B40">
        <w:rPr>
          <w:rFonts w:ascii="Verdana" w:hAnsi="Verdana" w:cs="Arial"/>
          <w:sz w:val="22"/>
          <w:szCs w:val="22"/>
          <w:lang w:bidi="th-TH"/>
        </w:rPr>
        <w:t>weiteren Informationen über das Ergebnis des Rechtsbehelfsverfahrens.</w:t>
      </w:r>
    </w:p>
    <w:p w:rsidR="006E41DA" w:rsidRDefault="00724B9A" w:rsidP="007F4D6F">
      <w:pPr>
        <w:autoSpaceDE w:val="0"/>
        <w:autoSpaceDN w:val="0"/>
        <w:adjustRightInd w:val="0"/>
        <w:spacing w:before="240" w:line="260" w:lineRule="exact"/>
        <w:jc w:val="both"/>
        <w:rPr>
          <w:rFonts w:ascii="Verdana" w:hAnsi="Verdana" w:cs="Arial"/>
          <w:sz w:val="22"/>
          <w:szCs w:val="22"/>
          <w:lang w:bidi="th-TH"/>
        </w:rPr>
      </w:pPr>
      <w:r w:rsidRPr="00443B40">
        <w:rPr>
          <w:rFonts w:ascii="Verdana" w:hAnsi="Verdana" w:cs="Arial"/>
          <w:sz w:val="22"/>
          <w:szCs w:val="22"/>
          <w:lang w:bidi="th-TH"/>
        </w:rPr>
        <w:t>(5) Eine Bekanntmachung nach Absatz 1 ist fünf Jahre nach ihrer Bekanntmachung</w:t>
      </w:r>
      <w:r w:rsidR="00A32214" w:rsidRPr="00443B40">
        <w:rPr>
          <w:rFonts w:ascii="Verdana" w:hAnsi="Verdana" w:cs="Arial"/>
          <w:sz w:val="22"/>
          <w:szCs w:val="22"/>
          <w:lang w:bidi="th-TH"/>
        </w:rPr>
        <w:t xml:space="preserve"> </w:t>
      </w:r>
      <w:r w:rsidRPr="00443B40">
        <w:rPr>
          <w:rFonts w:ascii="Verdana" w:hAnsi="Verdana" w:cs="Arial"/>
          <w:sz w:val="22"/>
          <w:szCs w:val="22"/>
          <w:lang w:bidi="th-TH"/>
        </w:rPr>
        <w:t>zu löschen. Abweichend von Satz 1 sind personenbezogene Daten zu löschen,</w:t>
      </w:r>
      <w:r w:rsidR="00A32214" w:rsidRPr="00443B40">
        <w:rPr>
          <w:rFonts w:ascii="Verdana" w:hAnsi="Verdana" w:cs="Arial"/>
          <w:sz w:val="22"/>
          <w:szCs w:val="22"/>
          <w:lang w:bidi="th-TH"/>
        </w:rPr>
        <w:t xml:space="preserve"> </w:t>
      </w:r>
      <w:r w:rsidRPr="00443B40">
        <w:rPr>
          <w:rFonts w:ascii="Verdana" w:hAnsi="Verdana" w:cs="Arial"/>
          <w:sz w:val="22"/>
          <w:szCs w:val="22"/>
          <w:lang w:bidi="th-TH"/>
        </w:rPr>
        <w:t>sobald ihre Bekanntmachung nicht mehr erforderlich ist.“</w:t>
      </w:r>
    </w:p>
    <w:p w:rsidR="00F60888" w:rsidRPr="00443B40" w:rsidRDefault="00F60888" w:rsidP="007F4D6F">
      <w:pPr>
        <w:autoSpaceDE w:val="0"/>
        <w:autoSpaceDN w:val="0"/>
        <w:adjustRightInd w:val="0"/>
        <w:spacing w:before="240" w:line="260" w:lineRule="exact"/>
        <w:jc w:val="both"/>
        <w:rPr>
          <w:rFonts w:ascii="Verdana" w:hAnsi="Verdana" w:cs="Arial"/>
          <w:sz w:val="22"/>
          <w:szCs w:val="22"/>
        </w:rPr>
      </w:pPr>
    </w:p>
    <w:p w:rsidR="006E41DA" w:rsidRPr="00443B40" w:rsidRDefault="006E41DA" w:rsidP="007F4D6F">
      <w:pPr>
        <w:keepNext/>
        <w:autoSpaceDE w:val="0"/>
        <w:autoSpaceDN w:val="0"/>
        <w:adjustRightInd w:val="0"/>
        <w:spacing w:before="240" w:line="260" w:lineRule="exact"/>
        <w:jc w:val="both"/>
        <w:rPr>
          <w:rFonts w:ascii="Verdana" w:hAnsi="Verdana" w:cs="Arial"/>
          <w:sz w:val="22"/>
          <w:szCs w:val="22"/>
        </w:rPr>
      </w:pPr>
    </w:p>
    <w:p w:rsidR="006E41DA" w:rsidRPr="00443B40" w:rsidRDefault="006E41DA" w:rsidP="007F4D6F">
      <w:pPr>
        <w:keepNext/>
        <w:autoSpaceDE w:val="0"/>
        <w:autoSpaceDN w:val="0"/>
        <w:adjustRightInd w:val="0"/>
        <w:spacing w:before="240" w:line="260" w:lineRule="exact"/>
        <w:jc w:val="both"/>
        <w:rPr>
          <w:rFonts w:ascii="Verdana" w:hAnsi="Verdana" w:cs="Arial"/>
          <w:sz w:val="22"/>
          <w:szCs w:val="22"/>
        </w:rPr>
      </w:pPr>
    </w:p>
    <w:p w:rsidR="006E41DA" w:rsidRPr="00443B40" w:rsidRDefault="006E41DA" w:rsidP="007F4D6F">
      <w:pPr>
        <w:keepNext/>
        <w:autoSpaceDE w:val="0"/>
        <w:autoSpaceDN w:val="0"/>
        <w:adjustRightInd w:val="0"/>
        <w:spacing w:before="240" w:line="260" w:lineRule="exact"/>
        <w:jc w:val="both"/>
        <w:rPr>
          <w:rFonts w:ascii="Verdana" w:hAnsi="Verdana" w:cs="Arial"/>
          <w:sz w:val="22"/>
          <w:szCs w:val="22"/>
        </w:rPr>
      </w:pPr>
      <w:r w:rsidRPr="00443B40">
        <w:rPr>
          <w:rFonts w:ascii="Verdana" w:hAnsi="Verdana" w:cs="Arial"/>
          <w:sz w:val="22"/>
          <w:szCs w:val="22"/>
        </w:rPr>
        <w:t>____________________________________________________</w:t>
      </w:r>
    </w:p>
    <w:p w:rsidR="006E41DA" w:rsidRPr="00443B40" w:rsidRDefault="006E41DA" w:rsidP="007F4D6F">
      <w:pPr>
        <w:keepNext/>
        <w:autoSpaceDE w:val="0"/>
        <w:autoSpaceDN w:val="0"/>
        <w:adjustRightInd w:val="0"/>
        <w:spacing w:before="240" w:line="260" w:lineRule="exact"/>
        <w:jc w:val="both"/>
        <w:rPr>
          <w:rFonts w:ascii="Verdana" w:hAnsi="Verdana" w:cs="Arial"/>
          <w:sz w:val="22"/>
          <w:szCs w:val="22"/>
        </w:rPr>
      </w:pPr>
      <w:r w:rsidRPr="00443B40">
        <w:rPr>
          <w:rFonts w:ascii="Verdana" w:hAnsi="Verdana" w:cs="Arial"/>
          <w:sz w:val="22"/>
          <w:szCs w:val="22"/>
        </w:rPr>
        <w:t>(Ort, Datum)</w:t>
      </w:r>
    </w:p>
    <w:p w:rsidR="006E41DA" w:rsidRPr="00443B40" w:rsidRDefault="006E41DA" w:rsidP="007F4D6F">
      <w:pPr>
        <w:keepNext/>
        <w:autoSpaceDE w:val="0"/>
        <w:autoSpaceDN w:val="0"/>
        <w:adjustRightInd w:val="0"/>
        <w:spacing w:before="240" w:line="260" w:lineRule="exact"/>
        <w:jc w:val="both"/>
        <w:rPr>
          <w:rFonts w:ascii="Verdana" w:hAnsi="Verdana" w:cs="Arial"/>
          <w:sz w:val="22"/>
          <w:szCs w:val="22"/>
        </w:rPr>
      </w:pPr>
    </w:p>
    <w:p w:rsidR="006E41DA" w:rsidRPr="00443B40" w:rsidRDefault="006E41DA" w:rsidP="007F4D6F">
      <w:pPr>
        <w:keepNext/>
        <w:autoSpaceDE w:val="0"/>
        <w:autoSpaceDN w:val="0"/>
        <w:adjustRightInd w:val="0"/>
        <w:spacing w:before="240" w:line="260" w:lineRule="exact"/>
        <w:jc w:val="both"/>
        <w:rPr>
          <w:rFonts w:ascii="Verdana" w:hAnsi="Verdana" w:cs="Arial"/>
          <w:sz w:val="22"/>
          <w:szCs w:val="22"/>
        </w:rPr>
      </w:pPr>
    </w:p>
    <w:p w:rsidR="006E41DA" w:rsidRPr="00443B40" w:rsidRDefault="006E41DA" w:rsidP="007F4D6F">
      <w:pPr>
        <w:keepNext/>
        <w:autoSpaceDE w:val="0"/>
        <w:autoSpaceDN w:val="0"/>
        <w:adjustRightInd w:val="0"/>
        <w:spacing w:before="240" w:line="260" w:lineRule="exact"/>
        <w:jc w:val="both"/>
        <w:rPr>
          <w:rFonts w:ascii="Verdana" w:hAnsi="Verdana" w:cs="Arial"/>
          <w:sz w:val="22"/>
          <w:szCs w:val="22"/>
        </w:rPr>
      </w:pPr>
    </w:p>
    <w:p w:rsidR="006E41DA" w:rsidRPr="00443B40" w:rsidRDefault="006E41DA" w:rsidP="007F4D6F">
      <w:pPr>
        <w:keepNext/>
        <w:autoSpaceDE w:val="0"/>
        <w:autoSpaceDN w:val="0"/>
        <w:adjustRightInd w:val="0"/>
        <w:spacing w:before="240" w:line="260" w:lineRule="exact"/>
        <w:jc w:val="both"/>
        <w:rPr>
          <w:rFonts w:ascii="Verdana" w:hAnsi="Verdana" w:cs="Arial"/>
          <w:sz w:val="22"/>
          <w:szCs w:val="22"/>
        </w:rPr>
      </w:pPr>
      <w:r w:rsidRPr="00443B40">
        <w:rPr>
          <w:rFonts w:ascii="Verdana" w:hAnsi="Verdana" w:cs="Arial"/>
          <w:sz w:val="22"/>
          <w:szCs w:val="22"/>
        </w:rPr>
        <w:t>____________________________________________________</w:t>
      </w:r>
    </w:p>
    <w:p w:rsidR="006E41DA" w:rsidRPr="00443B40" w:rsidRDefault="006E41DA" w:rsidP="007F4D6F">
      <w:pPr>
        <w:keepNext/>
        <w:autoSpaceDE w:val="0"/>
        <w:autoSpaceDN w:val="0"/>
        <w:adjustRightInd w:val="0"/>
        <w:spacing w:before="240" w:line="260" w:lineRule="exact"/>
        <w:jc w:val="both"/>
        <w:rPr>
          <w:rFonts w:ascii="Verdana" w:hAnsi="Verdana" w:cs="Arial"/>
          <w:sz w:val="22"/>
          <w:szCs w:val="22"/>
        </w:rPr>
      </w:pPr>
      <w:r w:rsidRPr="00443B40">
        <w:rPr>
          <w:rFonts w:ascii="Verdana" w:hAnsi="Verdana" w:cs="Arial"/>
          <w:sz w:val="22"/>
          <w:szCs w:val="22"/>
        </w:rPr>
        <w:t>(Unterschrift)</w:t>
      </w:r>
    </w:p>
    <w:sectPr w:rsidR="006E41DA" w:rsidRPr="00443B40">
      <w:headerReference w:type="even" r:id="rId8"/>
      <w:headerReference w:type="default" r:id="rId9"/>
      <w:footerReference w:type="even" r:id="rId10"/>
      <w:footerReference w:type="default" r:id="rId11"/>
      <w:headerReference w:type="first" r:id="rId12"/>
      <w:footerReference w:type="first" r:id="rId13"/>
      <w:pgSz w:w="12240" w:h="15840"/>
      <w:pgMar w:top="1418" w:right="1418" w:bottom="1418" w:left="141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453B" w:rsidRDefault="008B453B">
      <w:r>
        <w:separator/>
      </w:r>
    </w:p>
  </w:endnote>
  <w:endnote w:type="continuationSeparator" w:id="0">
    <w:p w:rsidR="008B453B" w:rsidRDefault="008B4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1DA" w:rsidRDefault="006E41DA">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sidR="0021164F">
      <w:rPr>
        <w:rStyle w:val="Seitenzahl"/>
      </w:rPr>
      <w:fldChar w:fldCharType="separate"/>
    </w:r>
    <w:r w:rsidR="002E0032">
      <w:rPr>
        <w:rStyle w:val="Seitenzahl"/>
        <w:noProof/>
      </w:rPr>
      <w:t>8</w:t>
    </w:r>
    <w:r>
      <w:rPr>
        <w:rStyle w:val="Seitenzahl"/>
      </w:rPr>
      <w:fldChar w:fldCharType="end"/>
    </w:r>
  </w:p>
  <w:p w:rsidR="006E41DA" w:rsidRDefault="006E41DA">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1DA" w:rsidRDefault="00965AE7">
    <w:pPr>
      <w:pStyle w:val="Fuzeile"/>
      <w:framePr w:wrap="around" w:vAnchor="text" w:hAnchor="margin" w:xAlign="center" w:y="1"/>
      <w:rPr>
        <w:rStyle w:val="Seitenzahl"/>
        <w:rFonts w:ascii="Arial" w:hAnsi="Arial" w:cs="Arial"/>
        <w:sz w:val="20"/>
      </w:rPr>
    </w:pPr>
    <w:r w:rsidRPr="00965AE7">
      <w:rPr>
        <w:rStyle w:val="Seitenzahl"/>
        <w:rFonts w:ascii="Arial" w:hAnsi="Arial" w:cs="Arial"/>
        <w:sz w:val="20"/>
      </w:rPr>
      <w:t xml:space="preserve">Seite </w:t>
    </w:r>
    <w:r w:rsidRPr="00965AE7">
      <w:rPr>
        <w:rStyle w:val="Seitenzahl"/>
        <w:rFonts w:ascii="Arial" w:hAnsi="Arial" w:cs="Arial"/>
        <w:bCs/>
        <w:sz w:val="20"/>
      </w:rPr>
      <w:fldChar w:fldCharType="begin"/>
    </w:r>
    <w:r w:rsidRPr="00965AE7">
      <w:rPr>
        <w:rStyle w:val="Seitenzahl"/>
        <w:rFonts w:ascii="Arial" w:hAnsi="Arial" w:cs="Arial"/>
        <w:bCs/>
        <w:sz w:val="20"/>
      </w:rPr>
      <w:instrText>PAGE  \* Arabic  \* MERGEFORMAT</w:instrText>
    </w:r>
    <w:r w:rsidRPr="00965AE7">
      <w:rPr>
        <w:rStyle w:val="Seitenzahl"/>
        <w:rFonts w:ascii="Arial" w:hAnsi="Arial" w:cs="Arial"/>
        <w:bCs/>
        <w:sz w:val="20"/>
      </w:rPr>
      <w:fldChar w:fldCharType="separate"/>
    </w:r>
    <w:r w:rsidR="00A475F1">
      <w:rPr>
        <w:rStyle w:val="Seitenzahl"/>
        <w:rFonts w:ascii="Arial" w:hAnsi="Arial" w:cs="Arial"/>
        <w:bCs/>
        <w:noProof/>
        <w:sz w:val="20"/>
      </w:rPr>
      <w:t>6</w:t>
    </w:r>
    <w:r w:rsidRPr="00965AE7">
      <w:rPr>
        <w:rStyle w:val="Seitenzahl"/>
        <w:rFonts w:ascii="Arial" w:hAnsi="Arial" w:cs="Arial"/>
        <w:bCs/>
        <w:sz w:val="20"/>
      </w:rPr>
      <w:fldChar w:fldCharType="end"/>
    </w:r>
    <w:r w:rsidRPr="00965AE7">
      <w:rPr>
        <w:rStyle w:val="Seitenzahl"/>
        <w:rFonts w:ascii="Arial" w:hAnsi="Arial" w:cs="Arial"/>
        <w:sz w:val="20"/>
      </w:rPr>
      <w:t xml:space="preserve"> von </w:t>
    </w:r>
    <w:r w:rsidRPr="00965AE7">
      <w:rPr>
        <w:rStyle w:val="Seitenzahl"/>
        <w:rFonts w:ascii="Arial" w:hAnsi="Arial" w:cs="Arial"/>
        <w:bCs/>
        <w:sz w:val="20"/>
      </w:rPr>
      <w:fldChar w:fldCharType="begin"/>
    </w:r>
    <w:r w:rsidRPr="00965AE7">
      <w:rPr>
        <w:rStyle w:val="Seitenzahl"/>
        <w:rFonts w:ascii="Arial" w:hAnsi="Arial" w:cs="Arial"/>
        <w:bCs/>
        <w:sz w:val="20"/>
      </w:rPr>
      <w:instrText>NUMPAGES  \* Arabic  \* MERGEFORMAT</w:instrText>
    </w:r>
    <w:r w:rsidRPr="00965AE7">
      <w:rPr>
        <w:rStyle w:val="Seitenzahl"/>
        <w:rFonts w:ascii="Arial" w:hAnsi="Arial" w:cs="Arial"/>
        <w:bCs/>
        <w:sz w:val="20"/>
      </w:rPr>
      <w:fldChar w:fldCharType="separate"/>
    </w:r>
    <w:r w:rsidR="00A475F1">
      <w:rPr>
        <w:rStyle w:val="Seitenzahl"/>
        <w:rFonts w:ascii="Arial" w:hAnsi="Arial" w:cs="Arial"/>
        <w:bCs/>
        <w:noProof/>
        <w:sz w:val="20"/>
      </w:rPr>
      <w:t>8</w:t>
    </w:r>
    <w:r w:rsidRPr="00965AE7">
      <w:rPr>
        <w:rStyle w:val="Seitenzahl"/>
        <w:rFonts w:ascii="Arial" w:hAnsi="Arial" w:cs="Arial"/>
        <w:bCs/>
        <w:sz w:val="20"/>
      </w:rPr>
      <w:fldChar w:fldCharType="end"/>
    </w:r>
  </w:p>
  <w:p w:rsidR="002E0032" w:rsidRDefault="002E0032" w:rsidP="000F38F9">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072" w:rsidRDefault="00FA407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453B" w:rsidRDefault="008B453B">
      <w:r>
        <w:separator/>
      </w:r>
    </w:p>
  </w:footnote>
  <w:footnote w:type="continuationSeparator" w:id="0">
    <w:p w:rsidR="008B453B" w:rsidRDefault="008B45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072" w:rsidRDefault="00FA4072">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072" w:rsidRDefault="00FA4072">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072" w:rsidRDefault="00FA4072">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54BA4"/>
    <w:multiLevelType w:val="hybridMultilevel"/>
    <w:tmpl w:val="9C6204BA"/>
    <w:lvl w:ilvl="0" w:tplc="01BE5634">
      <w:start w:val="1"/>
      <w:numFmt w:val="bullet"/>
      <w:lvlText w:val=""/>
      <w:lvlJc w:val="left"/>
      <w:pPr>
        <w:tabs>
          <w:tab w:val="num" w:pos="1134"/>
        </w:tabs>
        <w:ind w:left="1134" w:hanging="567"/>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 w15:restartNumberingAfterBreak="0">
    <w:nsid w:val="19423395"/>
    <w:multiLevelType w:val="hybridMultilevel"/>
    <w:tmpl w:val="1BA04788"/>
    <w:lvl w:ilvl="0" w:tplc="848C4F9A">
      <w:start w:val="4"/>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 w15:restartNumberingAfterBreak="0">
    <w:nsid w:val="2C52734E"/>
    <w:multiLevelType w:val="hybridMultilevel"/>
    <w:tmpl w:val="A4CA6C1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E2A4705"/>
    <w:multiLevelType w:val="hybridMultilevel"/>
    <w:tmpl w:val="86584AAC"/>
    <w:lvl w:ilvl="0" w:tplc="9BBAA228">
      <w:start w:val="1"/>
      <w:numFmt w:val="lowerLetter"/>
      <w:lvlText w:val="%1)"/>
      <w:lvlJc w:val="left"/>
      <w:pPr>
        <w:ind w:left="567"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44306C4"/>
    <w:multiLevelType w:val="hybridMultilevel"/>
    <w:tmpl w:val="48B22216"/>
    <w:lvl w:ilvl="0" w:tplc="07A8F1B4">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Formatting/>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E19"/>
    <w:rsid w:val="000045BE"/>
    <w:rsid w:val="00006E49"/>
    <w:rsid w:val="000204EA"/>
    <w:rsid w:val="00024A75"/>
    <w:rsid w:val="000267BB"/>
    <w:rsid w:val="00037296"/>
    <w:rsid w:val="00044323"/>
    <w:rsid w:val="000640FC"/>
    <w:rsid w:val="000A1305"/>
    <w:rsid w:val="000A4E02"/>
    <w:rsid w:val="000C69FD"/>
    <w:rsid w:val="000E3552"/>
    <w:rsid w:val="000E58FD"/>
    <w:rsid w:val="000F38F9"/>
    <w:rsid w:val="00105998"/>
    <w:rsid w:val="00171880"/>
    <w:rsid w:val="00182929"/>
    <w:rsid w:val="00182FBC"/>
    <w:rsid w:val="001A23F2"/>
    <w:rsid w:val="001A624D"/>
    <w:rsid w:val="001B3D31"/>
    <w:rsid w:val="001D2A4E"/>
    <w:rsid w:val="001E0EF9"/>
    <w:rsid w:val="001E287F"/>
    <w:rsid w:val="001E6E12"/>
    <w:rsid w:val="001F67CA"/>
    <w:rsid w:val="00205E6C"/>
    <w:rsid w:val="00207632"/>
    <w:rsid w:val="0021164F"/>
    <w:rsid w:val="0024298D"/>
    <w:rsid w:val="00244A59"/>
    <w:rsid w:val="00294D61"/>
    <w:rsid w:val="002975F9"/>
    <w:rsid w:val="002B5C29"/>
    <w:rsid w:val="002C0A75"/>
    <w:rsid w:val="002E0032"/>
    <w:rsid w:val="00300C7A"/>
    <w:rsid w:val="003042EC"/>
    <w:rsid w:val="00320FCC"/>
    <w:rsid w:val="00324400"/>
    <w:rsid w:val="003A2C73"/>
    <w:rsid w:val="003A5E19"/>
    <w:rsid w:val="003B1AC5"/>
    <w:rsid w:val="003D20C9"/>
    <w:rsid w:val="003E533B"/>
    <w:rsid w:val="003F2295"/>
    <w:rsid w:val="003F3405"/>
    <w:rsid w:val="003F4266"/>
    <w:rsid w:val="00443B40"/>
    <w:rsid w:val="0044464B"/>
    <w:rsid w:val="00444D90"/>
    <w:rsid w:val="004700DE"/>
    <w:rsid w:val="004743E4"/>
    <w:rsid w:val="00476F1D"/>
    <w:rsid w:val="00490743"/>
    <w:rsid w:val="004A045F"/>
    <w:rsid w:val="004D3CF7"/>
    <w:rsid w:val="004F6CAE"/>
    <w:rsid w:val="005009F0"/>
    <w:rsid w:val="00501DFF"/>
    <w:rsid w:val="00512A36"/>
    <w:rsid w:val="005262F8"/>
    <w:rsid w:val="005332A9"/>
    <w:rsid w:val="00544218"/>
    <w:rsid w:val="00550158"/>
    <w:rsid w:val="00550E37"/>
    <w:rsid w:val="00563740"/>
    <w:rsid w:val="005838DF"/>
    <w:rsid w:val="005A1F1A"/>
    <w:rsid w:val="005A2397"/>
    <w:rsid w:val="005B7C2B"/>
    <w:rsid w:val="005D4F5E"/>
    <w:rsid w:val="005F4E2B"/>
    <w:rsid w:val="006050E6"/>
    <w:rsid w:val="00637D5C"/>
    <w:rsid w:val="00645E7F"/>
    <w:rsid w:val="00691DE3"/>
    <w:rsid w:val="006A12A3"/>
    <w:rsid w:val="006C7388"/>
    <w:rsid w:val="006D34C0"/>
    <w:rsid w:val="006D351E"/>
    <w:rsid w:val="006E41DA"/>
    <w:rsid w:val="00724B9A"/>
    <w:rsid w:val="00733371"/>
    <w:rsid w:val="007628F4"/>
    <w:rsid w:val="007A1BB1"/>
    <w:rsid w:val="007B7294"/>
    <w:rsid w:val="007C3E68"/>
    <w:rsid w:val="007D674E"/>
    <w:rsid w:val="007F4D6F"/>
    <w:rsid w:val="0082598D"/>
    <w:rsid w:val="00844F96"/>
    <w:rsid w:val="00873A92"/>
    <w:rsid w:val="008B453B"/>
    <w:rsid w:val="008C5578"/>
    <w:rsid w:val="008D50DE"/>
    <w:rsid w:val="008E1A04"/>
    <w:rsid w:val="008F05C4"/>
    <w:rsid w:val="009003E8"/>
    <w:rsid w:val="00913907"/>
    <w:rsid w:val="00920D5C"/>
    <w:rsid w:val="00931481"/>
    <w:rsid w:val="00937E87"/>
    <w:rsid w:val="009623CF"/>
    <w:rsid w:val="00965AE7"/>
    <w:rsid w:val="00970176"/>
    <w:rsid w:val="00980DDB"/>
    <w:rsid w:val="00992DF6"/>
    <w:rsid w:val="009B62E9"/>
    <w:rsid w:val="009C0431"/>
    <w:rsid w:val="009C18BC"/>
    <w:rsid w:val="009E1B25"/>
    <w:rsid w:val="009F24CC"/>
    <w:rsid w:val="009F2EE7"/>
    <w:rsid w:val="00A32214"/>
    <w:rsid w:val="00A475F1"/>
    <w:rsid w:val="00A51098"/>
    <w:rsid w:val="00A71C30"/>
    <w:rsid w:val="00A85087"/>
    <w:rsid w:val="00A93BAD"/>
    <w:rsid w:val="00AD11D1"/>
    <w:rsid w:val="00AD20F3"/>
    <w:rsid w:val="00AD33FA"/>
    <w:rsid w:val="00AD7C08"/>
    <w:rsid w:val="00AE62AC"/>
    <w:rsid w:val="00AF3C5B"/>
    <w:rsid w:val="00AF452C"/>
    <w:rsid w:val="00B064C9"/>
    <w:rsid w:val="00B2268F"/>
    <w:rsid w:val="00B43476"/>
    <w:rsid w:val="00B43664"/>
    <w:rsid w:val="00B80CA9"/>
    <w:rsid w:val="00BB4A38"/>
    <w:rsid w:val="00BC4209"/>
    <w:rsid w:val="00BC52B5"/>
    <w:rsid w:val="00BE4A31"/>
    <w:rsid w:val="00BF16B7"/>
    <w:rsid w:val="00BF1795"/>
    <w:rsid w:val="00BF3D16"/>
    <w:rsid w:val="00C05107"/>
    <w:rsid w:val="00C05191"/>
    <w:rsid w:val="00C1367D"/>
    <w:rsid w:val="00C27320"/>
    <w:rsid w:val="00C35348"/>
    <w:rsid w:val="00C731D4"/>
    <w:rsid w:val="00C8064B"/>
    <w:rsid w:val="00C9521E"/>
    <w:rsid w:val="00CB26B4"/>
    <w:rsid w:val="00CC09E9"/>
    <w:rsid w:val="00CC1778"/>
    <w:rsid w:val="00CC4BB7"/>
    <w:rsid w:val="00CE73F8"/>
    <w:rsid w:val="00CE7539"/>
    <w:rsid w:val="00CF0C19"/>
    <w:rsid w:val="00D14AF6"/>
    <w:rsid w:val="00D1771F"/>
    <w:rsid w:val="00D17A70"/>
    <w:rsid w:val="00D36BE5"/>
    <w:rsid w:val="00D4134C"/>
    <w:rsid w:val="00D944E8"/>
    <w:rsid w:val="00DA5720"/>
    <w:rsid w:val="00DB338C"/>
    <w:rsid w:val="00DC5E63"/>
    <w:rsid w:val="00DF70E7"/>
    <w:rsid w:val="00E15A8F"/>
    <w:rsid w:val="00E443C5"/>
    <w:rsid w:val="00E56D88"/>
    <w:rsid w:val="00E64285"/>
    <w:rsid w:val="00E77309"/>
    <w:rsid w:val="00E80F16"/>
    <w:rsid w:val="00E87656"/>
    <w:rsid w:val="00E94F5B"/>
    <w:rsid w:val="00EF0E9F"/>
    <w:rsid w:val="00EF3D70"/>
    <w:rsid w:val="00EF525D"/>
    <w:rsid w:val="00F001C4"/>
    <w:rsid w:val="00F03780"/>
    <w:rsid w:val="00F05428"/>
    <w:rsid w:val="00F41523"/>
    <w:rsid w:val="00F60888"/>
    <w:rsid w:val="00F64BFE"/>
    <w:rsid w:val="00FA4072"/>
    <w:rsid w:val="00FA77DB"/>
    <w:rsid w:val="00FF4D00"/>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76EC0DC-61C1-4B21-9554-DA1DAA0F1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44218"/>
    <w:rPr>
      <w:sz w:val="24"/>
      <w:szCs w:val="24"/>
    </w:rPr>
  </w:style>
  <w:style w:type="paragraph" w:styleId="berschrift1">
    <w:name w:val="heading 1"/>
    <w:basedOn w:val="Standard"/>
    <w:next w:val="Standard"/>
    <w:link w:val="berschrift1Zchn"/>
    <w:qFormat/>
    <w:pPr>
      <w:keepNext/>
      <w:autoSpaceDE w:val="0"/>
      <w:autoSpaceDN w:val="0"/>
      <w:adjustRightInd w:val="0"/>
      <w:jc w:val="center"/>
      <w:outlineLvl w:val="0"/>
    </w:pPr>
    <w:rPr>
      <w:rFonts w:ascii="Verdana" w:hAnsi="Verdana" w:cs="Arial"/>
      <w:b/>
      <w:bCs/>
    </w:rPr>
  </w:style>
  <w:style w:type="paragraph" w:styleId="berschrift2">
    <w:name w:val="heading 2"/>
    <w:basedOn w:val="Standard"/>
    <w:next w:val="Standard"/>
    <w:qFormat/>
    <w:pPr>
      <w:keepNext/>
      <w:autoSpaceDE w:val="0"/>
      <w:autoSpaceDN w:val="0"/>
      <w:adjustRightInd w:val="0"/>
      <w:jc w:val="center"/>
      <w:outlineLvl w:val="1"/>
    </w:pPr>
    <w:rPr>
      <w:rFonts w:ascii="Verdana" w:hAnsi="Verdana" w:cs="Arial"/>
      <w:b/>
      <w:bCs/>
      <w:sz w:val="22"/>
      <w:szCs w:val="30"/>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semiHidden/>
    <w:pPr>
      <w:autoSpaceDE w:val="0"/>
      <w:autoSpaceDN w:val="0"/>
      <w:adjustRightInd w:val="0"/>
      <w:ind w:left="708" w:hanging="708"/>
      <w:jc w:val="both"/>
    </w:pPr>
    <w:rPr>
      <w:rFonts w:ascii="Verdana" w:hAnsi="Verdana" w:cs="Arial"/>
      <w:sz w:val="22"/>
    </w:rPr>
  </w:style>
  <w:style w:type="paragraph" w:styleId="Fuzeile">
    <w:name w:val="footer"/>
    <w:basedOn w:val="Standard"/>
    <w:link w:val="FuzeileZchn"/>
    <w:semiHidden/>
    <w:pPr>
      <w:tabs>
        <w:tab w:val="center" w:pos="4536"/>
        <w:tab w:val="right" w:pos="9072"/>
      </w:tabs>
    </w:pPr>
  </w:style>
  <w:style w:type="character" w:styleId="Seitenzahl">
    <w:name w:val="page number"/>
    <w:basedOn w:val="Absatz-Standardschriftart"/>
    <w:semiHidden/>
  </w:style>
  <w:style w:type="paragraph" w:styleId="Kopfzeile">
    <w:name w:val="header"/>
    <w:basedOn w:val="Standard"/>
    <w:semiHidden/>
    <w:pPr>
      <w:tabs>
        <w:tab w:val="center" w:pos="4536"/>
        <w:tab w:val="right" w:pos="9072"/>
      </w:tabs>
    </w:pPr>
  </w:style>
  <w:style w:type="paragraph" w:styleId="Textkrper">
    <w:name w:val="Body Text"/>
    <w:basedOn w:val="Standard"/>
    <w:semiHidden/>
    <w:pPr>
      <w:autoSpaceDE w:val="0"/>
      <w:autoSpaceDN w:val="0"/>
      <w:adjustRightInd w:val="0"/>
      <w:jc w:val="both"/>
    </w:pPr>
    <w:rPr>
      <w:rFonts w:ascii="Arial" w:hAnsi="Arial" w:cs="Arial"/>
      <w:b/>
      <w:bCs/>
    </w:rPr>
  </w:style>
  <w:style w:type="paragraph" w:styleId="Textkrper-Einzug3">
    <w:name w:val="Body Text Indent 3"/>
    <w:basedOn w:val="Standard"/>
    <w:link w:val="Textkrper-Einzug3Zchn"/>
    <w:uiPriority w:val="99"/>
    <w:semiHidden/>
    <w:unhideWhenUsed/>
    <w:rsid w:val="003A5E19"/>
    <w:pPr>
      <w:spacing w:after="120"/>
      <w:ind w:left="283"/>
    </w:pPr>
    <w:rPr>
      <w:sz w:val="16"/>
      <w:szCs w:val="16"/>
    </w:rPr>
  </w:style>
  <w:style w:type="character" w:customStyle="1" w:styleId="Textkrper-Einzug3Zchn">
    <w:name w:val="Textkörper-Einzug 3 Zchn"/>
    <w:link w:val="Textkrper-Einzug3"/>
    <w:uiPriority w:val="99"/>
    <w:semiHidden/>
    <w:rsid w:val="003A5E19"/>
    <w:rPr>
      <w:sz w:val="16"/>
      <w:szCs w:val="16"/>
      <w:lang w:bidi="ar-SA"/>
    </w:rPr>
  </w:style>
  <w:style w:type="character" w:customStyle="1" w:styleId="berschrift1Zchn">
    <w:name w:val="Überschrift 1 Zchn"/>
    <w:link w:val="berschrift1"/>
    <w:rsid w:val="003A5E19"/>
    <w:rPr>
      <w:rFonts w:ascii="Verdana" w:hAnsi="Verdana" w:cs="Arial"/>
      <w:b/>
      <w:bCs/>
      <w:sz w:val="24"/>
      <w:szCs w:val="24"/>
      <w:lang w:bidi="ar-SA"/>
    </w:rPr>
  </w:style>
  <w:style w:type="paragraph" w:styleId="Textkrper-Einzug2">
    <w:name w:val="Body Text Indent 2"/>
    <w:basedOn w:val="Standard"/>
    <w:link w:val="Textkrper-Einzug2Zchn"/>
    <w:uiPriority w:val="99"/>
    <w:semiHidden/>
    <w:unhideWhenUsed/>
    <w:rsid w:val="003A5E19"/>
    <w:pPr>
      <w:spacing w:after="120" w:line="480" w:lineRule="auto"/>
      <w:ind w:left="283"/>
    </w:pPr>
  </w:style>
  <w:style w:type="character" w:customStyle="1" w:styleId="Textkrper-Einzug2Zchn">
    <w:name w:val="Textkörper-Einzug 2 Zchn"/>
    <w:link w:val="Textkrper-Einzug2"/>
    <w:uiPriority w:val="99"/>
    <w:semiHidden/>
    <w:rsid w:val="003A5E19"/>
    <w:rPr>
      <w:sz w:val="24"/>
      <w:szCs w:val="24"/>
      <w:lang w:bidi="ar-SA"/>
    </w:rPr>
  </w:style>
  <w:style w:type="paragraph" w:styleId="Sprechblasentext">
    <w:name w:val="Balloon Text"/>
    <w:basedOn w:val="Standard"/>
    <w:link w:val="SprechblasentextZchn"/>
    <w:uiPriority w:val="99"/>
    <w:semiHidden/>
    <w:unhideWhenUsed/>
    <w:rsid w:val="003F2295"/>
    <w:rPr>
      <w:rFonts w:ascii="Tahoma" w:hAnsi="Tahoma" w:cs="Tahoma"/>
      <w:sz w:val="16"/>
      <w:szCs w:val="16"/>
    </w:rPr>
  </w:style>
  <w:style w:type="character" w:customStyle="1" w:styleId="SprechblasentextZchn">
    <w:name w:val="Sprechblasentext Zchn"/>
    <w:link w:val="Sprechblasentext"/>
    <w:uiPriority w:val="99"/>
    <w:semiHidden/>
    <w:rsid w:val="003F2295"/>
    <w:rPr>
      <w:rFonts w:ascii="Tahoma" w:hAnsi="Tahoma" w:cs="Tahoma"/>
      <w:sz w:val="16"/>
      <w:szCs w:val="16"/>
      <w:lang w:bidi="ar-SA"/>
    </w:rPr>
  </w:style>
  <w:style w:type="paragraph" w:customStyle="1" w:styleId="CM1">
    <w:name w:val="CM1"/>
    <w:basedOn w:val="Standard"/>
    <w:next w:val="Standard"/>
    <w:uiPriority w:val="99"/>
    <w:rsid w:val="00CE7539"/>
    <w:pPr>
      <w:autoSpaceDE w:val="0"/>
      <w:autoSpaceDN w:val="0"/>
      <w:adjustRightInd w:val="0"/>
    </w:pPr>
    <w:rPr>
      <w:rFonts w:ascii="EUAlbertina" w:hAnsi="EUAlbertina" w:cs="Angsana New"/>
      <w:lang w:bidi="th-TH"/>
    </w:rPr>
  </w:style>
  <w:style w:type="paragraph" w:customStyle="1" w:styleId="CM3">
    <w:name w:val="CM3"/>
    <w:basedOn w:val="Standard"/>
    <w:next w:val="Standard"/>
    <w:uiPriority w:val="99"/>
    <w:rsid w:val="00CE7539"/>
    <w:pPr>
      <w:autoSpaceDE w:val="0"/>
      <w:autoSpaceDN w:val="0"/>
      <w:adjustRightInd w:val="0"/>
    </w:pPr>
    <w:rPr>
      <w:rFonts w:ascii="EUAlbertina" w:hAnsi="EUAlbertina" w:cs="Angsana New"/>
      <w:lang w:bidi="th-TH"/>
    </w:rPr>
  </w:style>
  <w:style w:type="paragraph" w:customStyle="1" w:styleId="CM4">
    <w:name w:val="CM4"/>
    <w:basedOn w:val="Standard"/>
    <w:next w:val="Standard"/>
    <w:uiPriority w:val="99"/>
    <w:rsid w:val="00CE7539"/>
    <w:pPr>
      <w:autoSpaceDE w:val="0"/>
      <w:autoSpaceDN w:val="0"/>
      <w:adjustRightInd w:val="0"/>
    </w:pPr>
    <w:rPr>
      <w:rFonts w:ascii="EUAlbertina" w:hAnsi="EUAlbertina" w:cs="Angsana New"/>
      <w:lang w:bidi="th-TH"/>
    </w:rPr>
  </w:style>
  <w:style w:type="paragraph" w:customStyle="1" w:styleId="doc-ti">
    <w:name w:val="doc-ti"/>
    <w:basedOn w:val="Standard"/>
    <w:rsid w:val="00FA77DB"/>
    <w:pPr>
      <w:spacing w:before="100" w:beforeAutospacing="1" w:after="100" w:afterAutospacing="1"/>
    </w:pPr>
    <w:rPr>
      <w:lang w:bidi="th-TH"/>
    </w:rPr>
  </w:style>
  <w:style w:type="paragraph" w:customStyle="1" w:styleId="normal">
    <w:name w:val="normal"/>
    <w:basedOn w:val="Standard"/>
    <w:rsid w:val="00FA77DB"/>
    <w:pPr>
      <w:spacing w:before="100" w:beforeAutospacing="1" w:after="100" w:afterAutospacing="1"/>
    </w:pPr>
    <w:rPr>
      <w:lang w:bidi="th-TH"/>
    </w:rPr>
  </w:style>
  <w:style w:type="paragraph" w:customStyle="1" w:styleId="ti-grseq-1">
    <w:name w:val="ti-grseq-1"/>
    <w:basedOn w:val="Standard"/>
    <w:rsid w:val="00FA77DB"/>
    <w:pPr>
      <w:spacing w:before="100" w:beforeAutospacing="1" w:after="100" w:afterAutospacing="1"/>
    </w:pPr>
    <w:rPr>
      <w:lang w:bidi="th-TH"/>
    </w:rPr>
  </w:style>
  <w:style w:type="character" w:customStyle="1" w:styleId="bold">
    <w:name w:val="bold"/>
    <w:rsid w:val="00FA77DB"/>
  </w:style>
  <w:style w:type="paragraph" w:styleId="berarbeitung">
    <w:name w:val="Revision"/>
    <w:hidden/>
    <w:uiPriority w:val="99"/>
    <w:semiHidden/>
    <w:rsid w:val="00931481"/>
    <w:rPr>
      <w:sz w:val="24"/>
      <w:szCs w:val="24"/>
    </w:rPr>
  </w:style>
  <w:style w:type="character" w:styleId="Kommentarzeichen">
    <w:name w:val="annotation reference"/>
    <w:uiPriority w:val="99"/>
    <w:semiHidden/>
    <w:unhideWhenUsed/>
    <w:rsid w:val="00AF452C"/>
    <w:rPr>
      <w:sz w:val="16"/>
      <w:szCs w:val="16"/>
    </w:rPr>
  </w:style>
  <w:style w:type="paragraph" w:styleId="Kommentartext">
    <w:name w:val="annotation text"/>
    <w:basedOn w:val="Standard"/>
    <w:link w:val="KommentartextZchn"/>
    <w:uiPriority w:val="99"/>
    <w:semiHidden/>
    <w:unhideWhenUsed/>
    <w:rsid w:val="00AF452C"/>
    <w:rPr>
      <w:sz w:val="20"/>
      <w:szCs w:val="20"/>
    </w:rPr>
  </w:style>
  <w:style w:type="character" w:customStyle="1" w:styleId="KommentartextZchn">
    <w:name w:val="Kommentartext Zchn"/>
    <w:link w:val="Kommentartext"/>
    <w:uiPriority w:val="99"/>
    <w:semiHidden/>
    <w:rsid w:val="00AF452C"/>
    <w:rPr>
      <w:lang w:bidi="ar-SA"/>
    </w:rPr>
  </w:style>
  <w:style w:type="paragraph" w:styleId="Kommentarthema">
    <w:name w:val="annotation subject"/>
    <w:basedOn w:val="Kommentartext"/>
    <w:next w:val="Kommentartext"/>
    <w:link w:val="KommentarthemaZchn"/>
    <w:uiPriority w:val="99"/>
    <w:semiHidden/>
    <w:unhideWhenUsed/>
    <w:rsid w:val="00AF452C"/>
    <w:rPr>
      <w:b/>
      <w:bCs/>
    </w:rPr>
  </w:style>
  <w:style w:type="character" w:customStyle="1" w:styleId="KommentarthemaZchn">
    <w:name w:val="Kommentarthema Zchn"/>
    <w:link w:val="Kommentarthema"/>
    <w:uiPriority w:val="99"/>
    <w:semiHidden/>
    <w:rsid w:val="00AF452C"/>
    <w:rPr>
      <w:b/>
      <w:bCs/>
      <w:lang w:bidi="ar-SA"/>
    </w:rPr>
  </w:style>
  <w:style w:type="character" w:customStyle="1" w:styleId="FuzeileZchn">
    <w:name w:val="Fußzeile Zchn"/>
    <w:link w:val="Fuzeile"/>
    <w:rsid w:val="0021164F"/>
    <w:rPr>
      <w:sz w:val="24"/>
      <w:szCs w:val="24"/>
      <w:lang w:val="de-DE" w:eastAsia="de-DE"/>
    </w:rPr>
  </w:style>
  <w:style w:type="paragraph" w:customStyle="1" w:styleId="MacPacTrailer">
    <w:name w:val="MacPac Trailer"/>
    <w:rsid w:val="002E0032"/>
    <w:pPr>
      <w:widowControl w:val="0"/>
      <w:spacing w:line="200" w:lineRule="exact"/>
    </w:pPr>
    <w:rPr>
      <w:sz w:val="16"/>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937337">
      <w:bodyDiv w:val="1"/>
      <w:marLeft w:val="0"/>
      <w:marRight w:val="0"/>
      <w:marTop w:val="0"/>
      <w:marBottom w:val="0"/>
      <w:divBdr>
        <w:top w:val="none" w:sz="0" w:space="0" w:color="auto"/>
        <w:left w:val="none" w:sz="0" w:space="0" w:color="auto"/>
        <w:bottom w:val="none" w:sz="0" w:space="0" w:color="auto"/>
        <w:right w:val="none" w:sz="0" w:space="0" w:color="auto"/>
      </w:divBdr>
    </w:div>
    <w:div w:id="457845097">
      <w:bodyDiv w:val="1"/>
      <w:marLeft w:val="0"/>
      <w:marRight w:val="0"/>
      <w:marTop w:val="0"/>
      <w:marBottom w:val="0"/>
      <w:divBdr>
        <w:top w:val="none" w:sz="0" w:space="0" w:color="auto"/>
        <w:left w:val="none" w:sz="0" w:space="0" w:color="auto"/>
        <w:bottom w:val="none" w:sz="0" w:space="0" w:color="auto"/>
        <w:right w:val="none" w:sz="0" w:space="0" w:color="auto"/>
      </w:divBdr>
    </w:div>
    <w:div w:id="609162118">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1216044910">
      <w:bodyDiv w:val="1"/>
      <w:marLeft w:val="0"/>
      <w:marRight w:val="0"/>
      <w:marTop w:val="0"/>
      <w:marBottom w:val="0"/>
      <w:divBdr>
        <w:top w:val="none" w:sz="0" w:space="0" w:color="auto"/>
        <w:left w:val="none" w:sz="0" w:space="0" w:color="auto"/>
        <w:bottom w:val="none" w:sz="0" w:space="0" w:color="auto"/>
        <w:right w:val="none" w:sz="0" w:space="0" w:color="auto"/>
      </w:divBdr>
    </w:div>
    <w:div w:id="1527714961">
      <w:bodyDiv w:val="1"/>
      <w:marLeft w:val="0"/>
      <w:marRight w:val="0"/>
      <w:marTop w:val="0"/>
      <w:marBottom w:val="0"/>
      <w:divBdr>
        <w:top w:val="none" w:sz="0" w:space="0" w:color="auto"/>
        <w:left w:val="none" w:sz="0" w:space="0" w:color="auto"/>
        <w:bottom w:val="none" w:sz="0" w:space="0" w:color="auto"/>
        <w:right w:val="none" w:sz="0" w:space="0" w:color="auto"/>
      </w:divBdr>
    </w:div>
    <w:div w:id="1702784675">
      <w:bodyDiv w:val="1"/>
      <w:marLeft w:val="0"/>
      <w:marRight w:val="0"/>
      <w:marTop w:val="0"/>
      <w:marBottom w:val="0"/>
      <w:divBdr>
        <w:top w:val="none" w:sz="0" w:space="0" w:color="auto"/>
        <w:left w:val="none" w:sz="0" w:space="0" w:color="auto"/>
        <w:bottom w:val="none" w:sz="0" w:space="0" w:color="auto"/>
        <w:right w:val="none" w:sz="0" w:space="0" w:color="auto"/>
      </w:divBdr>
    </w:div>
    <w:div w:id="1781297367">
      <w:bodyDiv w:val="1"/>
      <w:marLeft w:val="0"/>
      <w:marRight w:val="0"/>
      <w:marTop w:val="0"/>
      <w:marBottom w:val="0"/>
      <w:divBdr>
        <w:top w:val="none" w:sz="0" w:space="0" w:color="auto"/>
        <w:left w:val="none" w:sz="0" w:space="0" w:color="auto"/>
        <w:bottom w:val="none" w:sz="0" w:space="0" w:color="auto"/>
        <w:right w:val="none" w:sz="0" w:space="0" w:color="auto"/>
      </w:divBdr>
    </w:div>
    <w:div w:id="1866360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D2BC53-4205-4BFA-9F13-044C2CEA0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2167</Words>
  <Characters>13656</Characters>
  <Application>Microsoft Office Word</Application>
  <DocSecurity>0</DocSecurity>
  <Lines>113</Lines>
  <Paragraphs>31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Erfassung Ihrer Person in das Insiderverzeichnis -</vt:lpstr>
    </vt:vector>
  </TitlesOfParts>
  <Company/>
  <LinksUpToDate>false</LinksUpToDate>
  <CharactersWithSpaces>15792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Nebel, Monika</dc:creator>
  <cp:keywords/>
  <cp:lastModifiedBy>Wiss. Mitarbeiter</cp:lastModifiedBy>
  <cp:revision>2</cp:revision>
  <dcterms:created xsi:type="dcterms:W3CDTF">2016-08-09T09:06:00Z</dcterms:created>
  <dcterms:modified xsi:type="dcterms:W3CDTF">2016-08-09T09:06:00Z</dcterms:modified>
</cp:coreProperties>
</file>